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51846" w14:textId="77777777" w:rsidR="007D00A0" w:rsidRDefault="007D00A0" w:rsidP="005922AD">
      <w:pPr>
        <w:pStyle w:val="IWAPaperTitle"/>
        <w:jc w:val="both"/>
        <w:rPr>
          <w:rFonts w:ascii="Times New Roman" w:hAnsi="Times New Roman" w:cs="Times New Roman"/>
          <w:sz w:val="32"/>
          <w:szCs w:val="32"/>
        </w:rPr>
      </w:pPr>
    </w:p>
    <w:p w14:paraId="03CD6872" w14:textId="5BC7FA7C" w:rsidR="003F344B" w:rsidRDefault="003F344B" w:rsidP="005922AD">
      <w:pPr>
        <w:pStyle w:val="Authornames"/>
        <w:jc w:val="both"/>
        <w:rPr>
          <w:rFonts w:ascii="Times New Roman" w:hAnsi="Times New Roman" w:cs="Times New Roman"/>
          <w:color w:val="000000" w:themeColor="text1"/>
          <w:sz w:val="24"/>
          <w:szCs w:val="24"/>
        </w:rPr>
      </w:pPr>
      <w:r w:rsidRPr="006A190C">
        <w:rPr>
          <w:rFonts w:ascii="Times New Roman" w:hAnsi="Times New Roman" w:cs="Times New Roman"/>
          <w:color w:val="000000" w:themeColor="text1"/>
          <w:sz w:val="24"/>
          <w:szCs w:val="24"/>
        </w:rPr>
        <w:t xml:space="preserve">Climate-Resilient Water Futures: Innovative Water Solutions for Climate Vulnerable Rural Communities in Selected </w:t>
      </w:r>
      <w:r w:rsidR="00A3520E">
        <w:rPr>
          <w:rFonts w:ascii="Times New Roman" w:hAnsi="Times New Roman" w:cs="Times New Roman"/>
          <w:color w:val="000000" w:themeColor="text1"/>
          <w:sz w:val="24"/>
          <w:szCs w:val="24"/>
        </w:rPr>
        <w:t xml:space="preserve">Sub-Saharan </w:t>
      </w:r>
      <w:r w:rsidRPr="006A190C">
        <w:rPr>
          <w:rFonts w:ascii="Times New Roman" w:hAnsi="Times New Roman" w:cs="Times New Roman"/>
          <w:color w:val="000000" w:themeColor="text1"/>
          <w:sz w:val="24"/>
          <w:szCs w:val="24"/>
        </w:rPr>
        <w:t>African Countries</w:t>
      </w:r>
    </w:p>
    <w:p w14:paraId="2007C95D" w14:textId="77777777" w:rsidR="003F344B" w:rsidRPr="00FF2D7F" w:rsidRDefault="003F344B" w:rsidP="003F344B">
      <w:pPr>
        <w:rPr>
          <w:b/>
          <w:bCs/>
        </w:rPr>
      </w:pPr>
      <w:r w:rsidRPr="003F344B">
        <w:rPr>
          <w:b/>
          <w:bCs/>
        </w:rPr>
        <w:t xml:space="preserve">Dr. </w:t>
      </w:r>
      <w:r w:rsidRPr="00FF2D7F">
        <w:rPr>
          <w:b/>
          <w:bCs/>
        </w:rPr>
        <w:t>Cecy Edijala Balogun</w:t>
      </w:r>
    </w:p>
    <w:p w14:paraId="3DD1BD52" w14:textId="40265B4B" w:rsidR="003F344B" w:rsidRPr="00FF2D7F" w:rsidRDefault="003F344B" w:rsidP="003F344B">
      <w:pPr>
        <w:rPr>
          <w:b/>
          <w:bCs/>
        </w:rPr>
      </w:pPr>
      <w:r w:rsidRPr="00FF2D7F">
        <w:rPr>
          <w:b/>
          <w:bCs/>
        </w:rPr>
        <w:t>Centre for the Study of Race, Gender and Class</w:t>
      </w:r>
      <w:r>
        <w:rPr>
          <w:b/>
          <w:bCs/>
        </w:rPr>
        <w:t xml:space="preserve"> </w:t>
      </w:r>
      <w:r w:rsidRPr="00FF2D7F">
        <w:rPr>
          <w:b/>
          <w:bCs/>
        </w:rPr>
        <w:t>University of Johannesburg, South Africa</w:t>
      </w:r>
    </w:p>
    <w:p w14:paraId="3258CB95" w14:textId="08B7F0A0" w:rsidR="003F344B" w:rsidRDefault="003F344B" w:rsidP="003F344B">
      <w:hyperlink r:id="rId10" w:history="1">
        <w:r w:rsidRPr="00655C31">
          <w:rPr>
            <w:rStyle w:val="Hyperlink"/>
            <w:b/>
            <w:bCs/>
          </w:rPr>
          <w:t>Olusanjo2019@gmail.com</w:t>
        </w:r>
      </w:hyperlink>
      <w:r w:rsidRPr="00FF2D7F">
        <w:rPr>
          <w:b/>
          <w:bCs/>
        </w:rPr>
        <w:t xml:space="preserve">; </w:t>
      </w:r>
      <w:hyperlink r:id="rId11" w:history="1">
        <w:r w:rsidRPr="00FF2D7F">
          <w:rPr>
            <w:rStyle w:val="Hyperlink"/>
            <w:b/>
            <w:bCs/>
          </w:rPr>
          <w:t>olusanjo2017@yahoo.com</w:t>
        </w:r>
      </w:hyperlink>
    </w:p>
    <w:p w14:paraId="1123CE03" w14:textId="77777777" w:rsidR="003360D7" w:rsidRPr="00512D6F" w:rsidRDefault="003360D7" w:rsidP="00512D6F"/>
    <w:p w14:paraId="2ECF89B7" w14:textId="77777777" w:rsidR="00DF0C59" w:rsidRDefault="003144C0" w:rsidP="00C27E18">
      <w:pPr>
        <w:pStyle w:val="IWAKeyword"/>
        <w:spacing w:before="120" w:after="120" w:line="240" w:lineRule="auto"/>
        <w:jc w:val="both"/>
        <w:rPr>
          <w:rFonts w:ascii="Times New Roman" w:hAnsi="Times New Roman" w:cs="Times New Roman"/>
          <w:b/>
          <w:bCs/>
          <w:sz w:val="24"/>
          <w:szCs w:val="24"/>
        </w:rPr>
      </w:pPr>
      <w:r w:rsidRPr="005E71DA">
        <w:rPr>
          <w:rFonts w:ascii="Times New Roman" w:hAnsi="Times New Roman" w:cs="Times New Roman"/>
          <w:b/>
          <w:bCs/>
          <w:sz w:val="24"/>
          <w:szCs w:val="24"/>
        </w:rPr>
        <w:t xml:space="preserve">Short </w:t>
      </w:r>
      <w:r w:rsidR="005922AD" w:rsidRPr="005E71DA">
        <w:rPr>
          <w:rFonts w:ascii="Times New Roman" w:hAnsi="Times New Roman" w:cs="Times New Roman"/>
          <w:b/>
          <w:bCs/>
          <w:sz w:val="24"/>
          <w:szCs w:val="24"/>
        </w:rPr>
        <w:t xml:space="preserve">Abstract: </w:t>
      </w:r>
    </w:p>
    <w:p w14:paraId="6AE30A45" w14:textId="77777777" w:rsidR="00DF0C59" w:rsidRPr="00CB654C" w:rsidRDefault="00DF0C59" w:rsidP="00DF0C59">
      <w:pPr>
        <w:spacing w:after="160" w:line="278" w:lineRule="auto"/>
        <w:jc w:val="both"/>
      </w:pPr>
      <w:r w:rsidRPr="00CB654C">
        <w:t>Climate change is intensifying water insecurity in rural communities across Nigeria, Namibia, South Africa, Kenya, and Ethiopia. Using World Bank and WHO/UNICEF data from 2013–2022, the study compares access to basic and safely managed drinking water and assesses fog harvesting, renewable-energy-powered desalination, community water kiosks, and direct potable reuse. It finds uneven progress, persistent rural–urban disparities, and heightened vulnerability in arid, remote, and low-income areas. Since no single technology suits every setting, the study recommends locally tailored solutions supported by community participation, blended finance, renewable energy, strong regulation, and robust water-quality monitoring.</w:t>
      </w:r>
    </w:p>
    <w:p w14:paraId="6D67FFFA" w14:textId="53955B0B" w:rsidR="008F07AA" w:rsidRDefault="00C81DBE" w:rsidP="008F07AA">
      <w:r w:rsidRPr="008F07AA">
        <w:rPr>
          <w:b/>
          <w:bCs/>
        </w:rPr>
        <w:t>Theme</w:t>
      </w:r>
      <w:r w:rsidRPr="005E71DA">
        <w:t xml:space="preserve">: </w:t>
      </w:r>
      <w:r w:rsidR="00DF0C59">
        <w:t>Climate change and water security; Water, energy and sustainability; Water policy and Governance</w:t>
      </w:r>
    </w:p>
    <w:p w14:paraId="546E3AFD" w14:textId="77777777" w:rsidR="008F07AA" w:rsidRDefault="008F07AA" w:rsidP="008F07AA"/>
    <w:p w14:paraId="7249E865" w14:textId="6CB0689D" w:rsidR="005922AD" w:rsidRDefault="00C81DBE" w:rsidP="008F07AA">
      <w:pPr>
        <w:pStyle w:val="Heading1"/>
        <w:tabs>
          <w:tab w:val="clear" w:pos="414"/>
        </w:tabs>
        <w:spacing w:before="120" w:line="240" w:lineRule="auto"/>
        <w:ind w:left="0" w:firstLine="0"/>
        <w:rPr>
          <w:rFonts w:ascii="Times New Roman" w:hAnsi="Times New Roman" w:cs="Times New Roman"/>
        </w:rPr>
      </w:pPr>
      <w:r w:rsidRPr="005E71DA">
        <w:rPr>
          <w:rFonts w:ascii="Times New Roman" w:hAnsi="Times New Roman" w:cs="Times New Roman"/>
        </w:rPr>
        <w:t>Sub-theme: Identify relevant sub-theme</w:t>
      </w:r>
      <w:r w:rsidR="00B94739">
        <w:rPr>
          <w:rFonts w:ascii="Times New Roman" w:hAnsi="Times New Roman" w:cs="Times New Roman"/>
        </w:rPr>
        <w:t xml:space="preserve"> (see drop down </w:t>
      </w:r>
      <w:r w:rsidR="00BB613E">
        <w:rPr>
          <w:rFonts w:ascii="Times New Roman" w:hAnsi="Times New Roman" w:cs="Times New Roman"/>
        </w:rPr>
        <w:t>under each theme)</w:t>
      </w:r>
      <w:r w:rsidR="00A3520E">
        <w:rPr>
          <w:rFonts w:ascii="Times New Roman" w:hAnsi="Times New Roman" w:cs="Times New Roman"/>
        </w:rPr>
        <w:t>.</w:t>
      </w:r>
    </w:p>
    <w:p w14:paraId="3CAA3E1A" w14:textId="77777777" w:rsidR="00A3520E" w:rsidRPr="00D11B00" w:rsidRDefault="00A3520E" w:rsidP="00A3520E">
      <w:r>
        <w:t xml:space="preserve">Water scarcity; climate adaptation; </w:t>
      </w:r>
      <w:r w:rsidRPr="00D11B00">
        <w:t>Water governance and regulation</w:t>
      </w:r>
      <w:r>
        <w:t xml:space="preserve">; community participation </w:t>
      </w:r>
      <w:r w:rsidRPr="00D11B00">
        <w:t>and stakeholder engagement</w:t>
      </w:r>
      <w:r>
        <w:t xml:space="preserve">; </w:t>
      </w:r>
      <w:r w:rsidRPr="00D11B00">
        <w:t>Commercialisation of water technologies</w:t>
      </w:r>
    </w:p>
    <w:p w14:paraId="1434F91C" w14:textId="6A1D389F" w:rsidR="00A3520E" w:rsidRPr="00D11B00" w:rsidRDefault="00A3520E" w:rsidP="00A3520E"/>
    <w:p w14:paraId="35C4DD6E" w14:textId="4B48498D" w:rsidR="00A3520E" w:rsidRPr="00BF54C9" w:rsidRDefault="005922AD" w:rsidP="00A3520E">
      <w:pPr>
        <w:jc w:val="both"/>
      </w:pPr>
      <w:r w:rsidRPr="005E71DA">
        <w:rPr>
          <w:b/>
          <w:bCs/>
        </w:rPr>
        <w:t>Keywords</w:t>
      </w:r>
      <w:r w:rsidRPr="005E71DA">
        <w:t xml:space="preserve">: </w:t>
      </w:r>
      <w:r w:rsidR="00A3520E" w:rsidRPr="00BF54C9">
        <w:t>climate change; rural water security; water innovation; climate resilience</w:t>
      </w:r>
      <w:r w:rsidR="00A3520E">
        <w:t>; community par</w:t>
      </w:r>
      <w:r w:rsidR="00554421">
        <w:t>t</w:t>
      </w:r>
      <w:r w:rsidR="00A3520E">
        <w:t>icipation</w:t>
      </w:r>
    </w:p>
    <w:p w14:paraId="7F90E981" w14:textId="77777777" w:rsidR="00A3520E" w:rsidRDefault="00A3520E" w:rsidP="008F07AA">
      <w:pPr>
        <w:pStyle w:val="Heading1"/>
        <w:tabs>
          <w:tab w:val="clear" w:pos="414"/>
        </w:tabs>
        <w:spacing w:before="120" w:line="240" w:lineRule="auto"/>
        <w:ind w:left="0" w:firstLine="6"/>
        <w:rPr>
          <w:rFonts w:ascii="Times New Roman" w:hAnsi="Times New Roman" w:cs="Times New Roman"/>
        </w:rPr>
      </w:pPr>
    </w:p>
    <w:p w14:paraId="09C63AC5" w14:textId="77777777" w:rsidR="00E727F6" w:rsidRDefault="000F1E7B" w:rsidP="008F07AA">
      <w:pPr>
        <w:pStyle w:val="Heading1"/>
        <w:tabs>
          <w:tab w:val="clear" w:pos="414"/>
        </w:tabs>
        <w:spacing w:before="120" w:line="240" w:lineRule="auto"/>
        <w:ind w:left="0" w:firstLine="6"/>
        <w:rPr>
          <w:rFonts w:ascii="Times New Roman" w:hAnsi="Times New Roman" w:cs="Times New Roman"/>
          <w:b w:val="0"/>
          <w:bCs w:val="0"/>
          <w:lang w:val="en-NZ"/>
        </w:rPr>
      </w:pPr>
      <w:r w:rsidRPr="005E71DA">
        <w:rPr>
          <w:rFonts w:ascii="Times New Roman" w:hAnsi="Times New Roman" w:cs="Times New Roman"/>
        </w:rPr>
        <w:t>Extended abstract:</w:t>
      </w:r>
      <w:r w:rsidR="00C27E18" w:rsidRPr="005E71DA">
        <w:rPr>
          <w:rFonts w:ascii="Times New Roman" w:hAnsi="Times New Roman" w:cs="Times New Roman"/>
          <w:b w:val="0"/>
          <w:bCs w:val="0"/>
          <w:lang w:val="en-NZ"/>
        </w:rPr>
        <w:t xml:space="preserve"> </w:t>
      </w:r>
    </w:p>
    <w:p w14:paraId="14C95815" w14:textId="77777777" w:rsidR="00E727F6" w:rsidRPr="00FC3E0A" w:rsidRDefault="00E727F6" w:rsidP="00E727F6">
      <w:pPr>
        <w:pStyle w:val="Heading1"/>
        <w:spacing w:before="360" w:after="80" w:line="276" w:lineRule="auto"/>
        <w:jc w:val="both"/>
        <w:rPr>
          <w:rFonts w:ascii="Times New Roman" w:hAnsi="Times New Roman" w:cs="Times New Roman"/>
          <w:b w:val="0"/>
          <w:bCs w:val="0"/>
        </w:rPr>
      </w:pPr>
      <w:r w:rsidRPr="00FC3E0A">
        <w:rPr>
          <w:rFonts w:ascii="Times New Roman" w:hAnsi="Times New Roman" w:cs="Times New Roman"/>
          <w:b w:val="0"/>
          <w:bCs w:val="0"/>
          <w:color w:val="000000"/>
        </w:rPr>
        <w:t>Introduction</w:t>
      </w:r>
    </w:p>
    <w:p w14:paraId="0B44E02B" w14:textId="77777777" w:rsidR="00E727F6" w:rsidRPr="00FC3E0A" w:rsidRDefault="00E727F6" w:rsidP="00E727F6">
      <w:pPr>
        <w:spacing w:line="276" w:lineRule="auto"/>
        <w:jc w:val="both"/>
      </w:pPr>
      <w:r w:rsidRPr="00FC3E0A">
        <w:t>Access to safe and reliable water remains a major development challenge in sub-Saharan Africa (SSA). Climate change, erratic rainfall, drought, population growth, urbanization, pollution, and weak infrastructure intensify water insecurity, particularly among rural communities, informal settlements, women, children, and low-income households. Although Sustainable Development Goal 6.1 calls for universal and equitable access to safe and affordable drinking water by 2030, large urban–rural and cross-country disparities persist</w:t>
      </w:r>
      <w:r>
        <w:t xml:space="preserve"> across SSA</w:t>
      </w:r>
      <w:r w:rsidRPr="00FC3E0A">
        <w:t xml:space="preserve">. This study examines household water </w:t>
      </w:r>
      <w:r w:rsidRPr="00FC3E0A">
        <w:lastRenderedPageBreak/>
        <w:t>access and the potential of innovative water solutions in Ethiopia, Kenya, Namibia, Nigeria, and South Africa.</w:t>
      </w:r>
    </w:p>
    <w:p w14:paraId="6C58907C" w14:textId="77777777" w:rsidR="00E727F6" w:rsidRPr="00FC3E0A" w:rsidRDefault="00E727F6" w:rsidP="00E727F6">
      <w:pPr>
        <w:pStyle w:val="Heading1"/>
        <w:spacing w:before="360" w:after="80" w:line="276" w:lineRule="auto"/>
        <w:jc w:val="both"/>
        <w:rPr>
          <w:rFonts w:ascii="Times New Roman" w:hAnsi="Times New Roman" w:cs="Times New Roman"/>
          <w:b w:val="0"/>
          <w:bCs w:val="0"/>
        </w:rPr>
      </w:pPr>
      <w:r w:rsidRPr="00FC3E0A">
        <w:rPr>
          <w:rFonts w:ascii="Times New Roman" w:hAnsi="Times New Roman" w:cs="Times New Roman"/>
          <w:b w:val="0"/>
          <w:bCs w:val="0"/>
          <w:color w:val="000000"/>
        </w:rPr>
        <w:t>Research Problem</w:t>
      </w:r>
    </w:p>
    <w:p w14:paraId="1CABCE19" w14:textId="77777777" w:rsidR="00E727F6" w:rsidRPr="00FC3E0A" w:rsidRDefault="00E727F6" w:rsidP="00E727F6">
      <w:pPr>
        <w:spacing w:line="276" w:lineRule="auto"/>
      </w:pPr>
      <w:r w:rsidRPr="00FC3E0A">
        <w:t>Previous studies generally provide single-country or localized accounts of water access and management. Consequently, recent comparative evidence on household access across several SSA countries</w:t>
      </w:r>
      <w:r>
        <w:t xml:space="preserve"> </w:t>
      </w:r>
      <w:r w:rsidRPr="00FC3E0A">
        <w:t>and on innovations capable of addressing scarcity</w:t>
      </w:r>
      <w:r>
        <w:t xml:space="preserve"> </w:t>
      </w:r>
      <w:r w:rsidRPr="00FC3E0A">
        <w:t xml:space="preserve">is limited. The central problem is that many households still lack water that is accessible on their premises, available when required, free from contamination, and delivered through piped systems. These deficiencies impose collection burdens, increase household expenditure, expose users to health risks, and deepen inequalities between urban and rural areas. Therefore, this paper addressed the following objectives: (1) </w:t>
      </w:r>
      <w:proofErr w:type="spellStart"/>
      <w:r w:rsidRPr="00FC3E0A">
        <w:t>Analyze</w:t>
      </w:r>
      <w:proofErr w:type="spellEnd"/>
      <w:r w:rsidRPr="00FC3E0A">
        <w:t xml:space="preserve"> household access to improved drinking water in Ethiopia, Kenya, Namibia, Nigeria, and South Africa</w:t>
      </w:r>
      <w:r>
        <w:t xml:space="preserve"> (2) </w:t>
      </w:r>
      <w:r w:rsidRPr="00FC3E0A">
        <w:t>Examine resilient and innovative water solutions available to households in the selected countries.</w:t>
      </w:r>
    </w:p>
    <w:p w14:paraId="060E620A" w14:textId="77777777" w:rsidR="00E727F6" w:rsidRPr="003F57C9" w:rsidRDefault="00E727F6" w:rsidP="00E727F6">
      <w:pPr>
        <w:pStyle w:val="Heading1"/>
        <w:spacing w:before="360" w:after="80" w:line="276" w:lineRule="auto"/>
        <w:jc w:val="both"/>
        <w:rPr>
          <w:rFonts w:ascii="Times New Roman" w:hAnsi="Times New Roman" w:cs="Times New Roman"/>
          <w:b w:val="0"/>
          <w:bCs w:val="0"/>
          <w:color w:val="000000"/>
        </w:rPr>
      </w:pPr>
      <w:r w:rsidRPr="003F57C9">
        <w:rPr>
          <w:rFonts w:ascii="Times New Roman" w:hAnsi="Times New Roman" w:cs="Times New Roman"/>
          <w:b w:val="0"/>
          <w:bCs w:val="0"/>
          <w:color w:val="000000"/>
        </w:rPr>
        <w:t>Methodology</w:t>
      </w:r>
    </w:p>
    <w:p w14:paraId="70D3BBA6" w14:textId="30CC7462" w:rsidR="00E727F6" w:rsidRDefault="00E727F6" w:rsidP="00E727F6">
      <w:pPr>
        <w:spacing w:line="276" w:lineRule="auto"/>
      </w:pPr>
      <w:r w:rsidRPr="00FC3E0A">
        <w:t>The study adopts a descriptive case-study design and intentionally compares relatively high- and low-performing countries</w:t>
      </w:r>
      <w:r>
        <w:t xml:space="preserve"> which were randomly selected</w:t>
      </w:r>
      <w:r w:rsidRPr="00FC3E0A">
        <w:t>. It uses secondary quantitative data from the World Bank and the WHO/UNICEF Joint Monitoring Programme for Water Supply, Sanitation and Hygiene for 2013–2022, supported by academic and institutional case-study evidence. Water access is assessed through access to at least basic drinking water and, more broadly, whether water is available on premises, available when needed, free from contamination, and piped or non-piped. Quantitative findings are presented through charts</w:t>
      </w:r>
      <w:r>
        <w:t xml:space="preserve"> </w:t>
      </w:r>
      <w:r w:rsidRPr="00FC3E0A">
        <w:t>and percentages, while innovative solutions are examined descriptively.</w:t>
      </w:r>
    </w:p>
    <w:p w14:paraId="05D2BAFB" w14:textId="77777777" w:rsidR="00E727F6" w:rsidRPr="003F57C9" w:rsidRDefault="00E727F6" w:rsidP="00E727F6">
      <w:pPr>
        <w:pStyle w:val="Heading1"/>
        <w:spacing w:before="360" w:after="80" w:line="276" w:lineRule="auto"/>
        <w:jc w:val="both"/>
        <w:rPr>
          <w:rFonts w:ascii="Times New Roman" w:hAnsi="Times New Roman" w:cs="Times New Roman"/>
          <w:b w:val="0"/>
          <w:bCs w:val="0"/>
          <w:color w:val="000000"/>
        </w:rPr>
      </w:pPr>
      <w:r w:rsidRPr="003F57C9">
        <w:rPr>
          <w:rFonts w:ascii="Times New Roman" w:hAnsi="Times New Roman" w:cs="Times New Roman"/>
          <w:b w:val="0"/>
          <w:bCs w:val="0"/>
          <w:color w:val="000000"/>
        </w:rPr>
        <w:t>Findings</w:t>
      </w:r>
    </w:p>
    <w:p w14:paraId="005BE36A" w14:textId="77777777" w:rsidR="00E727F6" w:rsidRPr="00FC3E0A" w:rsidRDefault="00E727F6" w:rsidP="00E727F6">
      <w:pPr>
        <w:spacing w:line="276" w:lineRule="auto"/>
        <w:jc w:val="both"/>
      </w:pPr>
      <w:r w:rsidRPr="00FC3E0A">
        <w:rPr>
          <w:b/>
          <w:bCs/>
        </w:rPr>
        <w:t>Household water access</w:t>
      </w:r>
      <w:r>
        <w:rPr>
          <w:b/>
          <w:bCs/>
        </w:rPr>
        <w:t>:</w:t>
      </w:r>
      <w:r w:rsidRPr="00FC3E0A">
        <w:t xml:space="preserve"> All five countries improved access to at least basic drinking water, but performance differs markedly. South Africa exceeded 90%, while Ethiopia remained only slightly above 50%. Namibia and South Africa performed best in water on premises and piped supply: between 2015 and 2022, on-premises access rose from 59% to 62% in Namibia and from 75% to 79% in South Africa; piped access reached 84% and 90%, respectively, in 2022. Ethiopia, Kenya, and Nigeria recorded much lower levels, and Nigeria showed particularly limited urban and rural piped access.</w:t>
      </w:r>
    </w:p>
    <w:p w14:paraId="602FFDC5" w14:textId="77777777" w:rsidR="00E727F6" w:rsidRPr="00FC3E0A" w:rsidRDefault="00E727F6" w:rsidP="00E727F6">
      <w:pPr>
        <w:spacing w:line="276" w:lineRule="auto"/>
        <w:jc w:val="both"/>
      </w:pPr>
      <w:r w:rsidRPr="00FC3E0A">
        <w:rPr>
          <w:b/>
          <w:bCs/>
        </w:rPr>
        <w:t>Urban–rural inequalities</w:t>
      </w:r>
      <w:r>
        <w:rPr>
          <w:b/>
          <w:bCs/>
        </w:rPr>
        <w:t>:</w:t>
      </w:r>
      <w:r w:rsidRPr="00FC3E0A">
        <w:t xml:space="preserve"> Urban households generally enjoyed better access than rural households. Rural on-premises access was especially low outside Namibia and South Africa, where it reached 50% and 54%, respectively, in 2022. Many rural </w:t>
      </w:r>
      <w:r w:rsidRPr="00FC3E0A">
        <w:lastRenderedPageBreak/>
        <w:t>households rely on rainwater, wells, streams, rivers, or purchased water. Long collection times disproportionately burden women and children, reduce time for education and income-generating activities, and constrain the quantity available for drinking, cooking, hygiene, and livelihood needs. Poor households are additionally exposed to unaffordable vendor prices during shortages.</w:t>
      </w:r>
    </w:p>
    <w:p w14:paraId="2C276B7A" w14:textId="77777777" w:rsidR="00E727F6" w:rsidRPr="00FC3E0A" w:rsidRDefault="00E727F6" w:rsidP="00E727F6">
      <w:pPr>
        <w:spacing w:line="276" w:lineRule="auto"/>
        <w:jc w:val="both"/>
      </w:pPr>
      <w:r w:rsidRPr="00FC3E0A">
        <w:rPr>
          <w:b/>
          <w:bCs/>
        </w:rPr>
        <w:t>Water quality and health</w:t>
      </w:r>
      <w:r>
        <w:rPr>
          <w:b/>
          <w:bCs/>
        </w:rPr>
        <w:t>:</w:t>
      </w:r>
      <w:r w:rsidRPr="00FC3E0A">
        <w:t xml:space="preserve"> Available data indicate low access to contamination-free water in Ethiopia and Nigeria. Pollution arises from </w:t>
      </w:r>
      <w:proofErr w:type="spellStart"/>
      <w:r w:rsidRPr="00FC3E0A">
        <w:t>fecal</w:t>
      </w:r>
      <w:proofErr w:type="spellEnd"/>
      <w:r w:rsidRPr="00FC3E0A">
        <w:t xml:space="preserve"> contamination, untreated wastewater, industrial chemicals, mining, agricultural runoff, and oil spills. Even rainwater can be contaminated during collection and storage. Unsafe supplies increase exposure to diarrhoea, cholera, dysentery, typhoid, polio, and skin conditions. Household treatments such as boiling, charcoal filtration, mud pots, and ultraviolet systems may help, but their cost, effectiveness, and uptake remain constraints.</w:t>
      </w:r>
    </w:p>
    <w:p w14:paraId="7F52E150" w14:textId="77777777" w:rsidR="00E727F6" w:rsidRPr="00FC3E0A" w:rsidRDefault="00E727F6" w:rsidP="00E727F6">
      <w:pPr>
        <w:spacing w:line="276" w:lineRule="auto"/>
        <w:jc w:val="both"/>
      </w:pPr>
      <w:r w:rsidRPr="00FC3E0A">
        <w:rPr>
          <w:b/>
          <w:bCs/>
        </w:rPr>
        <w:t>Innovative solutions</w:t>
      </w:r>
      <w:r>
        <w:rPr>
          <w:b/>
          <w:bCs/>
        </w:rPr>
        <w:t>:</w:t>
      </w:r>
      <w:r w:rsidRPr="00FC3E0A">
        <w:t xml:space="preserve"> Four approaches show promise. Fog harvesting is relatively inexpensive and community-manageable where fog is frequent, including parts of Ethiopia, Namibia, and South Africa. Desalination supplements scarce freshwater in Kenya, Namibia, and South Africa, but high capital, energy, tariff, and environmental costs limit equitable expansion. Community water kiosks improve affordable access in Kenya and Nigeria, although breakdowns, unsafe handling, and weak maintenance threaten reliability. Direct potable reuse has operated successfully in Namibia and South Africa; Windhoek’s long-running system demonstrates the potential of controlled wastewater recycling, while South African schemes serve drought- and mining-affected locations. Scaling these solutions requires regulation, finance, maintenance capacity, quality monitoring, community participation, and explicit inclusion of rural and low-income households.</w:t>
      </w:r>
    </w:p>
    <w:p w14:paraId="299AAA88" w14:textId="77777777" w:rsidR="00E727F6" w:rsidRPr="00104736" w:rsidRDefault="00E727F6" w:rsidP="00E727F6">
      <w:pPr>
        <w:pStyle w:val="Heading1"/>
        <w:spacing w:before="360" w:after="80" w:line="276" w:lineRule="auto"/>
        <w:jc w:val="both"/>
        <w:rPr>
          <w:rFonts w:ascii="Times New Roman" w:hAnsi="Times New Roman" w:cs="Times New Roman"/>
          <w:color w:val="000000"/>
        </w:rPr>
      </w:pPr>
      <w:r w:rsidRPr="00104736">
        <w:rPr>
          <w:rFonts w:ascii="Times New Roman" w:hAnsi="Times New Roman" w:cs="Times New Roman"/>
          <w:color w:val="000000"/>
        </w:rPr>
        <w:t>Conclusion</w:t>
      </w:r>
    </w:p>
    <w:p w14:paraId="2D8CEF9C" w14:textId="77777777" w:rsidR="00E727F6" w:rsidRPr="00FC3E0A" w:rsidRDefault="00E727F6" w:rsidP="00E727F6">
      <w:pPr>
        <w:spacing w:line="276" w:lineRule="auto"/>
        <w:jc w:val="both"/>
      </w:pPr>
      <w:r w:rsidRPr="00FC3E0A">
        <w:t>The study concludes that progress in basic water provision has not eliminated inequalities in accessibility, reliability, safety, or piped supply. Namibia and South Africa offer useful lessons, but persistent rural gaps remain even in these better-performing countries. Ethiopia, Kenya, and Nigeria require faster investment in infrastructure and context-appropriate innovation. A resilient response should combine conventional systems with fog harvesting, desalination, well-managed kiosks, potable reuse, pollution control, and affordable household treatment. Policy must prioritize rural and low-income communities, strengthen regulation and monitoring, and ensure that innovations are financially and operationally sustainable.</w:t>
      </w:r>
    </w:p>
    <w:p w14:paraId="4FE1DB55" w14:textId="77777777" w:rsidR="005922AD" w:rsidRDefault="005922AD" w:rsidP="005922AD">
      <w:pPr>
        <w:pStyle w:val="Tabletitle"/>
        <w:rPr>
          <w:rFonts w:ascii="Times New Roman" w:hAnsi="Times New Roman"/>
          <w:b/>
          <w:bCs/>
        </w:rPr>
      </w:pPr>
    </w:p>
    <w:p w14:paraId="0A6884E3" w14:textId="77777777" w:rsidR="00E727F6" w:rsidRPr="00E727F6" w:rsidRDefault="00E727F6" w:rsidP="00E727F6"/>
    <w:p w14:paraId="3A58BF6C" w14:textId="77777777" w:rsidR="00E727F6" w:rsidRDefault="00E727F6" w:rsidP="005922AD">
      <w:pPr>
        <w:pStyle w:val="Tabletitle"/>
        <w:rPr>
          <w:rFonts w:ascii="Times New Roman" w:hAnsi="Times New Roman"/>
          <w:b/>
          <w:bCs/>
          <w:sz w:val="24"/>
          <w:szCs w:val="24"/>
        </w:rPr>
      </w:pPr>
    </w:p>
    <w:p w14:paraId="1D0E1A77" w14:textId="77777777" w:rsidR="00E727F6" w:rsidRPr="00B24C9E" w:rsidRDefault="00E727F6" w:rsidP="00E727F6">
      <w:pPr>
        <w:spacing w:line="360" w:lineRule="auto"/>
      </w:pPr>
    </w:p>
    <w:p w14:paraId="4119F948" w14:textId="77777777" w:rsidR="00E727F6" w:rsidRPr="00B24C9E" w:rsidRDefault="00E727F6" w:rsidP="00E727F6">
      <w:pPr>
        <w:spacing w:line="360" w:lineRule="auto"/>
      </w:pPr>
    </w:p>
    <w:p w14:paraId="1C7D25E3" w14:textId="77777777" w:rsidR="00E727F6" w:rsidRPr="00B24C9E" w:rsidRDefault="00E727F6" w:rsidP="00E727F6">
      <w:pPr>
        <w:spacing w:line="360" w:lineRule="auto"/>
      </w:pPr>
      <w:r w:rsidRPr="00B24C9E">
        <w:rPr>
          <w:noProof/>
        </w:rPr>
        <w:drawing>
          <wp:inline distT="0" distB="0" distL="0" distR="0" wp14:anchorId="6598D374" wp14:editId="32F5035A">
            <wp:extent cx="5391573" cy="3225800"/>
            <wp:effectExtent l="0" t="0" r="0" b="12700"/>
            <wp:docPr id="18222690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8232A11" w14:textId="77777777" w:rsidR="00E727F6" w:rsidRPr="00B24C9E" w:rsidRDefault="00E727F6" w:rsidP="00104736">
      <w:r w:rsidRPr="00B24C9E">
        <w:t>Figure 1: Proportion of households using at least basic drinking water</w:t>
      </w:r>
    </w:p>
    <w:p w14:paraId="48119548" w14:textId="77777777" w:rsidR="00E727F6" w:rsidRPr="00B24C9E" w:rsidRDefault="00E727F6" w:rsidP="00104736">
      <w:r w:rsidRPr="00B24C9E">
        <w:t xml:space="preserve">Source: Computed by the researcher from </w:t>
      </w:r>
      <w:r>
        <w:t>the UNICEF data warehouse (2025)</w:t>
      </w:r>
    </w:p>
    <w:p w14:paraId="3937BEF6" w14:textId="77777777" w:rsidR="00E727F6" w:rsidRDefault="00E727F6" w:rsidP="005922AD">
      <w:pPr>
        <w:pStyle w:val="Tabletitle"/>
        <w:rPr>
          <w:rFonts w:ascii="Times New Roman" w:hAnsi="Times New Roman"/>
          <w:b/>
          <w:bCs/>
          <w:sz w:val="24"/>
          <w:szCs w:val="24"/>
        </w:rPr>
      </w:pPr>
    </w:p>
    <w:p w14:paraId="3B4BC5D5" w14:textId="77777777" w:rsidR="00E727F6" w:rsidRPr="00B24C9E" w:rsidRDefault="00E727F6" w:rsidP="00E727F6">
      <w:pPr>
        <w:spacing w:before="240" w:line="360" w:lineRule="auto"/>
      </w:pPr>
    </w:p>
    <w:p w14:paraId="64F14489" w14:textId="77777777" w:rsidR="00E727F6" w:rsidRPr="00B24C9E" w:rsidRDefault="00E727F6" w:rsidP="00E727F6">
      <w:pPr>
        <w:spacing w:line="360" w:lineRule="auto"/>
      </w:pPr>
      <w:r w:rsidRPr="00B24C9E">
        <w:rPr>
          <w:noProof/>
        </w:rPr>
        <w:lastRenderedPageBreak/>
        <w:drawing>
          <wp:inline distT="0" distB="0" distL="0" distR="0" wp14:anchorId="34DD25D9" wp14:editId="2301D644">
            <wp:extent cx="4348480" cy="3124200"/>
            <wp:effectExtent l="0" t="0" r="13970" b="0"/>
            <wp:docPr id="104701198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DF20ED" w14:textId="77777777" w:rsidR="00E727F6" w:rsidRPr="00B24C9E" w:rsidRDefault="00E727F6" w:rsidP="00104736">
      <w:r w:rsidRPr="00B24C9E">
        <w:t xml:space="preserve">Figure 2: Total households with access to water </w:t>
      </w:r>
    </w:p>
    <w:p w14:paraId="08FEDFD2" w14:textId="77777777" w:rsidR="00E727F6" w:rsidRPr="00B24C9E" w:rsidRDefault="00E727F6" w:rsidP="00104736">
      <w:r w:rsidRPr="00B24C9E">
        <w:t xml:space="preserve">Source: Computed by the author from </w:t>
      </w:r>
      <w:r>
        <w:t>the World Bank Open Data (2025)</w:t>
      </w:r>
    </w:p>
    <w:p w14:paraId="00619989" w14:textId="77777777" w:rsidR="00E727F6" w:rsidRPr="00E727F6" w:rsidRDefault="00E727F6" w:rsidP="00E727F6"/>
    <w:p w14:paraId="39DC0696" w14:textId="52478AB8" w:rsidR="005922AD" w:rsidRDefault="005922AD" w:rsidP="005922AD">
      <w:pPr>
        <w:tabs>
          <w:tab w:val="left" w:pos="-879"/>
          <w:tab w:val="left" w:pos="0"/>
          <w:tab w:val="left" w:pos="788"/>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b/>
          <w:bCs/>
        </w:rPr>
      </w:pPr>
      <w:r>
        <w:rPr>
          <w:b/>
          <w:bCs/>
        </w:rPr>
        <w:t>REFERENCES</w:t>
      </w:r>
      <w:r w:rsidR="00882293">
        <w:rPr>
          <w:b/>
          <w:bCs/>
        </w:rPr>
        <w:t xml:space="preserve"> (citable examples below)</w:t>
      </w:r>
    </w:p>
    <w:p w14:paraId="75676C9A" w14:textId="77777777" w:rsidR="00104736" w:rsidRDefault="00104736" w:rsidP="00104736">
      <w:pPr>
        <w:spacing w:line="200" w:lineRule="atLeast"/>
        <w:jc w:val="both"/>
      </w:pPr>
    </w:p>
    <w:p w14:paraId="4ABFF74A" w14:textId="73328D66" w:rsidR="00104736" w:rsidRPr="00FC3E0A" w:rsidRDefault="00104736" w:rsidP="00104736">
      <w:pPr>
        <w:spacing w:line="200" w:lineRule="atLeast"/>
        <w:jc w:val="both"/>
      </w:pPr>
      <w:r w:rsidRPr="00FC3E0A">
        <w:t xml:space="preserve">Howard, G., Bartram, J., Williams, A., Overbo, A., Geere, J.-A., and World Health Organization. 2020. </w:t>
      </w:r>
      <w:r w:rsidRPr="00FC3E0A">
        <w:rPr>
          <w:i/>
          <w:iCs/>
        </w:rPr>
        <w:t>Domestic Water Quantity, Service Level and Health</w:t>
      </w:r>
      <w:r w:rsidRPr="00FC3E0A">
        <w:t>. World Health Organization.</w:t>
      </w:r>
    </w:p>
    <w:p w14:paraId="69E10214" w14:textId="77777777" w:rsidR="00104736" w:rsidRDefault="00104736" w:rsidP="00104736">
      <w:pPr>
        <w:spacing w:line="200" w:lineRule="atLeast"/>
        <w:jc w:val="both"/>
      </w:pPr>
    </w:p>
    <w:p w14:paraId="417EBB88" w14:textId="64B40998" w:rsidR="00104736" w:rsidRPr="00FC3E0A" w:rsidRDefault="00104736" w:rsidP="00104736">
      <w:pPr>
        <w:spacing w:line="200" w:lineRule="atLeast"/>
        <w:jc w:val="both"/>
      </w:pPr>
      <w:proofErr w:type="spellStart"/>
      <w:r w:rsidRPr="00FC3E0A">
        <w:t>Lahnsteiner</w:t>
      </w:r>
      <w:proofErr w:type="spellEnd"/>
      <w:r w:rsidRPr="00FC3E0A">
        <w:t xml:space="preserve">, J., Van Rensburg, P., and Esterhuizen, J. 2018. “Direct Potable Reuse—A Feasible Water Management Option.” </w:t>
      </w:r>
      <w:r w:rsidRPr="00FC3E0A">
        <w:rPr>
          <w:i/>
          <w:iCs/>
        </w:rPr>
        <w:t>Journal of Water Reuse and Desalination</w:t>
      </w:r>
      <w:r w:rsidRPr="00FC3E0A">
        <w:t xml:space="preserve"> 8 (1): 14–28.</w:t>
      </w:r>
    </w:p>
    <w:p w14:paraId="0C51F4C3" w14:textId="77777777" w:rsidR="00104736" w:rsidRDefault="00104736" w:rsidP="00104736">
      <w:pPr>
        <w:spacing w:line="200" w:lineRule="atLeast"/>
        <w:jc w:val="both"/>
      </w:pPr>
    </w:p>
    <w:p w14:paraId="35ED2E98" w14:textId="7819AEC0" w:rsidR="00104736" w:rsidRPr="00FC3E0A" w:rsidRDefault="00104736" w:rsidP="00104736">
      <w:pPr>
        <w:spacing w:line="200" w:lineRule="atLeast"/>
        <w:jc w:val="both"/>
      </w:pPr>
      <w:proofErr w:type="spellStart"/>
      <w:r w:rsidRPr="00FC3E0A">
        <w:t>Mapuka</w:t>
      </w:r>
      <w:proofErr w:type="spellEnd"/>
      <w:r w:rsidRPr="00FC3E0A">
        <w:t xml:space="preserve">, F. N., Nel, W., and Kalumba, A. M. 2024. “Exploring Household Water Conservation Methods in Rural South Africa.” </w:t>
      </w:r>
      <w:r w:rsidRPr="00FC3E0A">
        <w:rPr>
          <w:i/>
          <w:iCs/>
        </w:rPr>
        <w:t>Sustainable Water Resources Management</w:t>
      </w:r>
      <w:r w:rsidRPr="00FC3E0A">
        <w:t xml:space="preserve"> 10 (4): 145.</w:t>
      </w:r>
    </w:p>
    <w:p w14:paraId="6DDDADD1" w14:textId="77777777" w:rsidR="00104736" w:rsidRDefault="00104736" w:rsidP="00104736">
      <w:pPr>
        <w:spacing w:line="200" w:lineRule="atLeast"/>
        <w:jc w:val="both"/>
      </w:pPr>
    </w:p>
    <w:p w14:paraId="67213D0E" w14:textId="3F279DCE" w:rsidR="00104736" w:rsidRPr="00FC3E0A" w:rsidRDefault="00104736" w:rsidP="00104736">
      <w:pPr>
        <w:spacing w:line="200" w:lineRule="atLeast"/>
        <w:jc w:val="both"/>
      </w:pPr>
      <w:proofErr w:type="spellStart"/>
      <w:r w:rsidRPr="00FC3E0A">
        <w:t>Morichi</w:t>
      </w:r>
      <w:proofErr w:type="spellEnd"/>
      <w:r w:rsidRPr="00FC3E0A">
        <w:t xml:space="preserve">, G. 2018. “Novel Applications for Fog Water Harvesting.” </w:t>
      </w:r>
      <w:r w:rsidRPr="00FC3E0A">
        <w:rPr>
          <w:i/>
          <w:iCs/>
        </w:rPr>
        <w:t>Journal of Geoscience and Environment Protection</w:t>
      </w:r>
      <w:r w:rsidRPr="00FC3E0A">
        <w:t xml:space="preserve"> 6 (3): 26.</w:t>
      </w:r>
    </w:p>
    <w:p w14:paraId="0B1DB9C2" w14:textId="77777777" w:rsidR="00104736" w:rsidRDefault="00104736" w:rsidP="00104736">
      <w:pPr>
        <w:spacing w:line="200" w:lineRule="atLeast"/>
        <w:jc w:val="both"/>
      </w:pPr>
    </w:p>
    <w:p w14:paraId="01303900" w14:textId="6C621DCA" w:rsidR="00104736" w:rsidRPr="00FC3E0A" w:rsidRDefault="00104736" w:rsidP="00104736">
      <w:pPr>
        <w:spacing w:line="200" w:lineRule="atLeast"/>
        <w:jc w:val="both"/>
      </w:pPr>
      <w:proofErr w:type="spellStart"/>
      <w:r w:rsidRPr="00FC3E0A">
        <w:t>Okotto-Okotto</w:t>
      </w:r>
      <w:proofErr w:type="spellEnd"/>
      <w:r w:rsidRPr="00FC3E0A">
        <w:t xml:space="preserve">, J., et al. 2021. “A Mixed Methods Study to Evaluate Participatory Mapping for Rural Water Safety Planning in Western Kenya.” </w:t>
      </w:r>
      <w:proofErr w:type="spellStart"/>
      <w:r w:rsidRPr="00FC3E0A">
        <w:rPr>
          <w:i/>
          <w:iCs/>
        </w:rPr>
        <w:t>PLoS</w:t>
      </w:r>
      <w:proofErr w:type="spellEnd"/>
      <w:r w:rsidRPr="00FC3E0A">
        <w:rPr>
          <w:i/>
          <w:iCs/>
        </w:rPr>
        <w:t xml:space="preserve"> One</w:t>
      </w:r>
      <w:r w:rsidRPr="00FC3E0A">
        <w:t xml:space="preserve"> 16 (7): e0255286.</w:t>
      </w:r>
    </w:p>
    <w:p w14:paraId="302AC0C8" w14:textId="77777777" w:rsidR="00104736" w:rsidRDefault="00104736" w:rsidP="00104736">
      <w:pPr>
        <w:spacing w:line="200" w:lineRule="atLeast"/>
        <w:jc w:val="both"/>
      </w:pPr>
    </w:p>
    <w:p w14:paraId="32077298" w14:textId="7E30C60C" w:rsidR="00104736" w:rsidRPr="00FC3E0A" w:rsidRDefault="00104736" w:rsidP="00104736">
      <w:pPr>
        <w:spacing w:line="200" w:lineRule="atLeast"/>
        <w:jc w:val="both"/>
      </w:pPr>
      <w:r w:rsidRPr="00FC3E0A">
        <w:t xml:space="preserve">World Health Organization. 2023. “Drinking </w:t>
      </w:r>
      <w:proofErr w:type="spellStart"/>
      <w:r w:rsidRPr="00FC3E0A">
        <w:t>Water</w:t>
      </w:r>
      <w:proofErr w:type="gramStart"/>
      <w:r w:rsidRPr="00FC3E0A">
        <w:t>.”UNICEF</w:t>
      </w:r>
      <w:proofErr w:type="spellEnd"/>
      <w:proofErr w:type="gramEnd"/>
      <w:r w:rsidRPr="00FC3E0A">
        <w:t xml:space="preserve">. 2025. </w:t>
      </w:r>
      <w:r w:rsidRPr="00FC3E0A">
        <w:rPr>
          <w:i/>
          <w:iCs/>
        </w:rPr>
        <w:t>UNICEF Data Warehouse</w:t>
      </w:r>
      <w:r w:rsidRPr="00FC3E0A">
        <w:t>.</w:t>
      </w:r>
    </w:p>
    <w:p w14:paraId="20FB7B6A" w14:textId="26984037" w:rsidR="005922AD" w:rsidRDefault="00104736" w:rsidP="00104736">
      <w:pPr>
        <w:spacing w:line="200" w:lineRule="atLeast"/>
        <w:jc w:val="both"/>
      </w:pPr>
      <w:r w:rsidRPr="00FC3E0A">
        <w:t xml:space="preserve">World Bank. 2025. </w:t>
      </w:r>
      <w:r w:rsidRPr="00FC3E0A">
        <w:rPr>
          <w:i/>
          <w:iCs/>
        </w:rPr>
        <w:t>World Bank Open Data</w:t>
      </w:r>
    </w:p>
    <w:sectPr w:rsidR="005922AD" w:rsidSect="009D2BEA">
      <w:headerReference w:type="default" r:id="rId14"/>
      <w:footerReference w:type="default" r:id="rId15"/>
      <w:pgSz w:w="11906" w:h="16838"/>
      <w:pgMar w:top="1440" w:right="1800" w:bottom="1440" w:left="180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23935" w14:textId="77777777" w:rsidR="005B76EC" w:rsidRDefault="005B76EC" w:rsidP="004C4141">
      <w:r>
        <w:separator/>
      </w:r>
    </w:p>
  </w:endnote>
  <w:endnote w:type="continuationSeparator" w:id="0">
    <w:p w14:paraId="3662B152" w14:textId="77777777" w:rsidR="005B76EC" w:rsidRDefault="005B76EC" w:rsidP="004C4141">
      <w:r>
        <w:continuationSeparator/>
      </w:r>
    </w:p>
  </w:endnote>
  <w:endnote w:type="continuationNotice" w:id="1">
    <w:p w14:paraId="49BD2F09" w14:textId="77777777" w:rsidR="005B76EC" w:rsidRDefault="005B7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887001"/>
      <w:docPartObj>
        <w:docPartGallery w:val="Page Numbers (Bottom of Page)"/>
        <w:docPartUnique/>
      </w:docPartObj>
    </w:sdtPr>
    <w:sdtEndPr>
      <w:rPr>
        <w:noProof/>
      </w:rPr>
    </w:sdtEndPr>
    <w:sdtContent>
      <w:p w14:paraId="383D6559" w14:textId="5AC42366" w:rsidR="000A5F35" w:rsidRDefault="000A5F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ED911C" w14:textId="60BB0E0B" w:rsidR="5221AD54" w:rsidRDefault="5221AD54" w:rsidP="5221A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4380" w14:textId="77777777" w:rsidR="005B76EC" w:rsidRDefault="005B76EC" w:rsidP="004C4141">
      <w:r>
        <w:separator/>
      </w:r>
    </w:p>
  </w:footnote>
  <w:footnote w:type="continuationSeparator" w:id="0">
    <w:p w14:paraId="0378447E" w14:textId="77777777" w:rsidR="005B76EC" w:rsidRDefault="005B76EC" w:rsidP="004C4141">
      <w:r>
        <w:continuationSeparator/>
      </w:r>
    </w:p>
  </w:footnote>
  <w:footnote w:type="continuationNotice" w:id="1">
    <w:p w14:paraId="638022BE" w14:textId="77777777" w:rsidR="005B76EC" w:rsidRDefault="005B76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B3E96" w14:textId="21F9AF3B" w:rsidR="004C4141" w:rsidRDefault="0054051F">
    <w:pPr>
      <w:pStyle w:val="Header"/>
    </w:pPr>
    <w:r w:rsidRPr="0054051F">
      <w:rPr>
        <w:noProof/>
      </w:rPr>
      <w:drawing>
        <wp:anchor distT="0" distB="0" distL="114300" distR="114300" simplePos="0" relativeHeight="251658240" behindDoc="0" locked="0" layoutInCell="1" allowOverlap="1" wp14:anchorId="61F85C5A" wp14:editId="086E95EF">
          <wp:simplePos x="0" y="0"/>
          <wp:positionH relativeFrom="margin">
            <wp:align>left</wp:align>
          </wp:positionH>
          <wp:positionV relativeFrom="paragraph">
            <wp:posOffset>-12234</wp:posOffset>
          </wp:positionV>
          <wp:extent cx="5274310" cy="1405890"/>
          <wp:effectExtent l="0" t="0" r="2540" b="3810"/>
          <wp:wrapTopAndBottom/>
          <wp:docPr id="1142962105" name="Picture 1" descr="A poster with a large rock formatio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62105" name="Picture 1" descr="A poster with a large rock formation in the background&#10;&#10;AI-generated content may be incorrect."/>
                  <pic:cNvPicPr/>
                </pic:nvPicPr>
                <pic:blipFill rotWithShape="1">
                  <a:blip r:embed="rId1">
                    <a:extLst>
                      <a:ext uri="{28A0092B-C50C-407E-A947-70E740481C1C}">
                        <a14:useLocalDpi xmlns:a14="http://schemas.microsoft.com/office/drawing/2010/main" val="0"/>
                      </a:ext>
                    </a:extLst>
                  </a:blip>
                  <a:srcRect b="44186"/>
                  <a:stretch>
                    <a:fillRect/>
                  </a:stretch>
                </pic:blipFill>
                <pic:spPr bwMode="auto">
                  <a:xfrm>
                    <a:off x="0" y="0"/>
                    <a:ext cx="5274310" cy="140589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3E4B7E"/>
    <w:lvl w:ilvl="0">
      <w:start w:val="1"/>
      <w:numFmt w:val="bullet"/>
      <w:lvlText w:val=""/>
      <w:lvlJc w:val="left"/>
      <w:pPr>
        <w:tabs>
          <w:tab w:val="num" w:pos="360"/>
        </w:tabs>
        <w:ind w:left="360" w:hanging="360"/>
      </w:pPr>
      <w:rPr>
        <w:rFonts w:ascii="Symbol" w:hAnsi="Symbol" w:cs="Times New Roman" w:hint="default"/>
      </w:rPr>
    </w:lvl>
  </w:abstractNum>
  <w:abstractNum w:abstractNumId="1" w15:restartNumberingAfterBreak="0">
    <w:nsid w:val="0BA622A3"/>
    <w:multiLevelType w:val="hybridMultilevel"/>
    <w:tmpl w:val="9A5E7C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7B3C24"/>
    <w:multiLevelType w:val="multilevel"/>
    <w:tmpl w:val="E218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ED71CA"/>
    <w:multiLevelType w:val="multilevel"/>
    <w:tmpl w:val="6B80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1912281">
    <w:abstractNumId w:val="0"/>
  </w:num>
  <w:num w:numId="2" w16cid:durableId="136263191">
    <w:abstractNumId w:val="0"/>
  </w:num>
  <w:num w:numId="3" w16cid:durableId="1589659820">
    <w:abstractNumId w:val="0"/>
  </w:num>
  <w:num w:numId="4" w16cid:durableId="669523698">
    <w:abstractNumId w:val="0"/>
  </w:num>
  <w:num w:numId="5" w16cid:durableId="1444572927">
    <w:abstractNumId w:val="1"/>
  </w:num>
  <w:num w:numId="6" w16cid:durableId="2061053206">
    <w:abstractNumId w:val="2"/>
  </w:num>
  <w:num w:numId="7" w16cid:durableId="998457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yMDIyMjE0NDG0MDdR0lEKTi0uzszPAykwrAUAtdSQlSwAAAA="/>
  </w:docVars>
  <w:rsids>
    <w:rsidRoot w:val="000B1A9F"/>
    <w:rsid w:val="00043D9E"/>
    <w:rsid w:val="000749DC"/>
    <w:rsid w:val="000A5F35"/>
    <w:rsid w:val="000B1A9F"/>
    <w:rsid w:val="000E370E"/>
    <w:rsid w:val="000F1E7B"/>
    <w:rsid w:val="00104736"/>
    <w:rsid w:val="00153B31"/>
    <w:rsid w:val="001A6FEF"/>
    <w:rsid w:val="001C7855"/>
    <w:rsid w:val="0020562E"/>
    <w:rsid w:val="00245841"/>
    <w:rsid w:val="002A6974"/>
    <w:rsid w:val="002B4E80"/>
    <w:rsid w:val="002D5F79"/>
    <w:rsid w:val="002F7E3A"/>
    <w:rsid w:val="003144C0"/>
    <w:rsid w:val="003360D7"/>
    <w:rsid w:val="0034577D"/>
    <w:rsid w:val="00361FCC"/>
    <w:rsid w:val="003A501D"/>
    <w:rsid w:val="003F344B"/>
    <w:rsid w:val="00433E07"/>
    <w:rsid w:val="004932AE"/>
    <w:rsid w:val="00493C3D"/>
    <w:rsid w:val="004A362B"/>
    <w:rsid w:val="004C4141"/>
    <w:rsid w:val="004C52BB"/>
    <w:rsid w:val="004D15E8"/>
    <w:rsid w:val="004E221E"/>
    <w:rsid w:val="00512D6F"/>
    <w:rsid w:val="0054051F"/>
    <w:rsid w:val="00554421"/>
    <w:rsid w:val="00587A54"/>
    <w:rsid w:val="005922AD"/>
    <w:rsid w:val="005B76EC"/>
    <w:rsid w:val="005E71DA"/>
    <w:rsid w:val="005E76FD"/>
    <w:rsid w:val="005E7BA0"/>
    <w:rsid w:val="006125DC"/>
    <w:rsid w:val="00645E65"/>
    <w:rsid w:val="0069746F"/>
    <w:rsid w:val="006B6FAB"/>
    <w:rsid w:val="007042F7"/>
    <w:rsid w:val="00744858"/>
    <w:rsid w:val="007503F5"/>
    <w:rsid w:val="00750C92"/>
    <w:rsid w:val="007634E7"/>
    <w:rsid w:val="00763625"/>
    <w:rsid w:val="007665E4"/>
    <w:rsid w:val="007923F7"/>
    <w:rsid w:val="007B4FAF"/>
    <w:rsid w:val="007D00A0"/>
    <w:rsid w:val="00851CE2"/>
    <w:rsid w:val="008772F6"/>
    <w:rsid w:val="00882293"/>
    <w:rsid w:val="008F07AA"/>
    <w:rsid w:val="009250D9"/>
    <w:rsid w:val="0093103D"/>
    <w:rsid w:val="009367E0"/>
    <w:rsid w:val="009437D6"/>
    <w:rsid w:val="00990632"/>
    <w:rsid w:val="009B7590"/>
    <w:rsid w:val="009C7423"/>
    <w:rsid w:val="009D2BEA"/>
    <w:rsid w:val="00A00BEA"/>
    <w:rsid w:val="00A3520E"/>
    <w:rsid w:val="00A667F9"/>
    <w:rsid w:val="00B3470C"/>
    <w:rsid w:val="00B74103"/>
    <w:rsid w:val="00B94739"/>
    <w:rsid w:val="00BB613E"/>
    <w:rsid w:val="00BF0E23"/>
    <w:rsid w:val="00C27E18"/>
    <w:rsid w:val="00C568B5"/>
    <w:rsid w:val="00C81DBE"/>
    <w:rsid w:val="00C9235E"/>
    <w:rsid w:val="00CC535E"/>
    <w:rsid w:val="00CE46C7"/>
    <w:rsid w:val="00D2796E"/>
    <w:rsid w:val="00DE1396"/>
    <w:rsid w:val="00DF0C59"/>
    <w:rsid w:val="00E21AAE"/>
    <w:rsid w:val="00E61012"/>
    <w:rsid w:val="00E727F6"/>
    <w:rsid w:val="00E90810"/>
    <w:rsid w:val="00F06A08"/>
    <w:rsid w:val="00F23977"/>
    <w:rsid w:val="00F427DF"/>
    <w:rsid w:val="00FE6BE5"/>
    <w:rsid w:val="06E792DA"/>
    <w:rsid w:val="22049958"/>
    <w:rsid w:val="3D70C4C2"/>
    <w:rsid w:val="5221AD54"/>
    <w:rsid w:val="763911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4B99B"/>
  <w15:chartTrackingRefBased/>
  <w15:docId w15:val="{40A9EBDA-BDE8-49B8-B369-F6F0BF19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IWAFirstparagraph"/>
    <w:qFormat/>
    <w:pPr>
      <w:keepNext/>
      <w:suppressLineNumbers/>
      <w:tabs>
        <w:tab w:val="left" w:pos="414"/>
      </w:tabs>
      <w:overflowPunct w:val="0"/>
      <w:autoSpaceDE w:val="0"/>
      <w:autoSpaceDN w:val="0"/>
      <w:adjustRightInd w:val="0"/>
      <w:spacing w:before="320" w:after="120" w:line="320" w:lineRule="atLeast"/>
      <w:ind w:left="420" w:hanging="420"/>
      <w:textAlignment w:val="baseline"/>
      <w:outlineLvl w:val="0"/>
    </w:pPr>
    <w:rPr>
      <w:rFonts w:ascii="Arial" w:hAnsi="Arial" w:cs="Arial"/>
      <w:b/>
      <w:bCs/>
      <w:kern w:val="28"/>
    </w:rPr>
  </w:style>
  <w:style w:type="paragraph" w:styleId="Heading2">
    <w:name w:val="heading 2"/>
    <w:basedOn w:val="Normal"/>
    <w:next w:val="IWAFirstparagraph"/>
    <w:qFormat/>
    <w:pPr>
      <w:keepNext/>
      <w:suppressLineNumbers/>
      <w:tabs>
        <w:tab w:val="left" w:pos="634"/>
      </w:tabs>
      <w:overflowPunct w:val="0"/>
      <w:autoSpaceDE w:val="0"/>
      <w:autoSpaceDN w:val="0"/>
      <w:adjustRightInd w:val="0"/>
      <w:spacing w:before="280" w:after="80" w:line="320" w:lineRule="exact"/>
      <w:ind w:left="634" w:hanging="634"/>
      <w:textAlignment w:val="baseline"/>
      <w:outlineLvl w:val="1"/>
    </w:pPr>
    <w:rPr>
      <w:rFonts w:ascii="Arial" w:hAnsi="Arial" w:cs="Arial"/>
      <w:b/>
      <w:bCs/>
      <w:sz w:val="22"/>
      <w:szCs w:val="22"/>
    </w:rPr>
  </w:style>
  <w:style w:type="paragraph" w:styleId="Heading3">
    <w:name w:val="heading 3"/>
    <w:basedOn w:val="Normal"/>
    <w:next w:val="IWAFirstparagraph"/>
    <w:qFormat/>
    <w:pPr>
      <w:keepNext/>
      <w:suppressLineNumbers/>
      <w:tabs>
        <w:tab w:val="left" w:pos="794"/>
      </w:tabs>
      <w:overflowPunct w:val="0"/>
      <w:autoSpaceDE w:val="0"/>
      <w:autoSpaceDN w:val="0"/>
      <w:adjustRightInd w:val="0"/>
      <w:spacing w:before="240" w:after="60" w:line="240" w:lineRule="atLeast"/>
      <w:ind w:left="794" w:hanging="794"/>
      <w:textAlignment w:val="baseline"/>
      <w:outlineLvl w:val="2"/>
    </w:pPr>
    <w:rPr>
      <w:rFonts w:ascii="Arial" w:hAnsi="Arial" w:cs="Arial"/>
      <w:i/>
      <w:iCs/>
      <w:sz w:val="22"/>
      <w:szCs w:val="22"/>
    </w:rPr>
  </w:style>
  <w:style w:type="paragraph" w:styleId="Heading4">
    <w:name w:val="heading 4"/>
    <w:basedOn w:val="Heading3"/>
    <w:next w:val="IWAFirstparagraph"/>
    <w:qFormat/>
    <w:pPr>
      <w:outlineLvl w:val="3"/>
    </w:pPr>
    <w:rPr>
      <w:b/>
      <w:bCs/>
      <w:i w:val="0"/>
      <w:iCs w:val="0"/>
      <w:sz w:val="20"/>
      <w:szCs w:val="20"/>
    </w:rPr>
  </w:style>
  <w:style w:type="paragraph" w:styleId="Heading5">
    <w:name w:val="heading 5"/>
    <w:basedOn w:val="Normal"/>
    <w:next w:val="Normal"/>
    <w:qFormat/>
    <w:pPr>
      <w:keepNext/>
      <w:suppressLineNumbers/>
      <w:overflowPunct w:val="0"/>
      <w:autoSpaceDE w:val="0"/>
      <w:autoSpaceDN w:val="0"/>
      <w:adjustRightInd w:val="0"/>
      <w:spacing w:line="240" w:lineRule="atLeast"/>
      <w:jc w:val="both"/>
      <w:textAlignment w:val="baseline"/>
      <w:outlineLvl w:val="4"/>
    </w:pPr>
    <w:rPr>
      <w:rFonts w:ascii="Arial" w:hAnsi="Arial" w:cs="Arial"/>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WAKeyword">
    <w:name w:val="(IWA) Keyword"/>
    <w:basedOn w:val="Normal"/>
    <w:next w:val="Heading1"/>
    <w:uiPriority w:val="99"/>
    <w:pPr>
      <w:suppressLineNumbers/>
      <w:suppressAutoHyphens/>
      <w:overflowPunct w:val="0"/>
      <w:autoSpaceDE w:val="0"/>
      <w:autoSpaceDN w:val="0"/>
      <w:adjustRightInd w:val="0"/>
      <w:spacing w:line="220" w:lineRule="atLeast"/>
      <w:jc w:val="center"/>
      <w:textAlignment w:val="baseline"/>
    </w:pPr>
    <w:rPr>
      <w:rFonts w:ascii="Arial" w:hAnsi="Arial" w:cs="Arial"/>
      <w:sz w:val="18"/>
      <w:szCs w:val="18"/>
    </w:rPr>
  </w:style>
  <w:style w:type="paragraph" w:customStyle="1" w:styleId="References">
    <w:name w:val="References"/>
    <w:basedOn w:val="Normal"/>
    <w:pPr>
      <w:suppressLineNumbers/>
      <w:overflowPunct w:val="0"/>
      <w:autoSpaceDE w:val="0"/>
      <w:autoSpaceDN w:val="0"/>
      <w:adjustRightInd w:val="0"/>
      <w:spacing w:line="200" w:lineRule="exact"/>
      <w:ind w:left="360" w:hanging="360"/>
      <w:jc w:val="both"/>
      <w:textAlignment w:val="baseline"/>
    </w:pPr>
    <w:rPr>
      <w:sz w:val="18"/>
      <w:szCs w:val="18"/>
    </w:rPr>
  </w:style>
  <w:style w:type="paragraph" w:customStyle="1" w:styleId="IWAReferences">
    <w:name w:val="(IWA) References"/>
    <w:basedOn w:val="Normal"/>
    <w:pPr>
      <w:suppressLineNumbers/>
      <w:overflowPunct w:val="0"/>
      <w:autoSpaceDE w:val="0"/>
      <w:autoSpaceDN w:val="0"/>
      <w:adjustRightInd w:val="0"/>
      <w:spacing w:line="200" w:lineRule="exact"/>
      <w:ind w:left="360" w:hanging="360"/>
      <w:jc w:val="both"/>
      <w:textAlignment w:val="baseline"/>
    </w:pPr>
    <w:rPr>
      <w:rFonts w:ascii="Arial" w:hAnsi="Arial" w:cs="Arial"/>
      <w:sz w:val="18"/>
      <w:szCs w:val="18"/>
    </w:rPr>
  </w:style>
  <w:style w:type="paragraph" w:customStyle="1" w:styleId="IWAPaperTitle">
    <w:name w:val="(IWA) Paper Title"/>
    <w:basedOn w:val="Normal"/>
    <w:uiPriority w:val="99"/>
    <w:pPr>
      <w:jc w:val="center"/>
    </w:pPr>
    <w:rPr>
      <w:rFonts w:ascii="Arial" w:hAnsi="Arial" w:cs="Arial"/>
      <w:b/>
      <w:bCs/>
      <w:sz w:val="28"/>
      <w:szCs w:val="28"/>
    </w:rPr>
  </w:style>
  <w:style w:type="paragraph" w:customStyle="1" w:styleId="IWANormalParagraph">
    <w:name w:val="(IWA) Normal Paragraph"/>
    <w:basedOn w:val="BodyTextFirstIndent"/>
    <w:uiPriority w:val="99"/>
    <w:rPr>
      <w:rFonts w:ascii="Arial" w:hAnsi="Arial" w:cs="Arial"/>
      <w:sz w:val="22"/>
      <w:szCs w:val="22"/>
    </w:rPr>
  </w:style>
  <w:style w:type="paragraph" w:customStyle="1" w:styleId="IWAFirstparagraph">
    <w:name w:val="(IWA) First paragraph"/>
    <w:basedOn w:val="Normal"/>
    <w:next w:val="Normal"/>
    <w:uiPriority w:val="99"/>
    <w:pPr>
      <w:suppressLineNumbers/>
      <w:overflowPunct w:val="0"/>
      <w:autoSpaceDE w:val="0"/>
      <w:autoSpaceDN w:val="0"/>
      <w:adjustRightInd w:val="0"/>
      <w:spacing w:line="240" w:lineRule="atLeast"/>
      <w:jc w:val="both"/>
      <w:textAlignment w:val="baseline"/>
    </w:pPr>
    <w:rPr>
      <w:rFonts w:ascii="Arial" w:hAnsi="Arial" w:cs="Arial"/>
      <w:sz w:val="22"/>
      <w:szCs w:val="22"/>
    </w:rPr>
  </w:style>
  <w:style w:type="paragraph" w:customStyle="1" w:styleId="IWAAuthornames">
    <w:name w:val="(IWA) Author name(s)"/>
    <w:basedOn w:val="Normal"/>
    <w:next w:val="IWAAuthoraddress"/>
    <w:pPr>
      <w:suppressLineNumbers/>
      <w:suppressAutoHyphens/>
      <w:overflowPunct w:val="0"/>
      <w:autoSpaceDE w:val="0"/>
      <w:autoSpaceDN w:val="0"/>
      <w:adjustRightInd w:val="0"/>
      <w:spacing w:after="120" w:line="240" w:lineRule="atLeast"/>
      <w:jc w:val="center"/>
      <w:textAlignment w:val="baseline"/>
    </w:pPr>
    <w:rPr>
      <w:rFonts w:ascii="Arial" w:hAnsi="Arial" w:cs="Arial"/>
      <w:sz w:val="20"/>
      <w:szCs w:val="20"/>
    </w:rPr>
  </w:style>
  <w:style w:type="paragraph" w:customStyle="1" w:styleId="IWAAuthoraddress">
    <w:name w:val="(IWA) Author address"/>
    <w:basedOn w:val="Normal"/>
    <w:next w:val="Normal"/>
    <w:uiPriority w:val="99"/>
    <w:pPr>
      <w:suppressLineNumbers/>
      <w:suppressAutoHyphens/>
      <w:overflowPunct w:val="0"/>
      <w:autoSpaceDE w:val="0"/>
      <w:autoSpaceDN w:val="0"/>
      <w:adjustRightInd w:val="0"/>
      <w:spacing w:line="220" w:lineRule="atLeast"/>
      <w:jc w:val="center"/>
      <w:textAlignment w:val="baseline"/>
    </w:pPr>
    <w:rPr>
      <w:rFonts w:ascii="Arial" w:hAnsi="Arial" w:cs="Arial"/>
      <w:sz w:val="18"/>
      <w:szCs w:val="18"/>
    </w:rPr>
  </w:style>
  <w:style w:type="paragraph" w:styleId="Footer">
    <w:name w:val="footer"/>
    <w:basedOn w:val="Normal"/>
    <w:link w:val="FooterChar"/>
    <w:uiPriority w:val="99"/>
    <w:pPr>
      <w:suppressLineNumbers/>
      <w:tabs>
        <w:tab w:val="center" w:pos="4153"/>
        <w:tab w:val="right" w:pos="8306"/>
      </w:tabs>
      <w:overflowPunct w:val="0"/>
      <w:autoSpaceDE w:val="0"/>
      <w:autoSpaceDN w:val="0"/>
      <w:adjustRightInd w:val="0"/>
      <w:spacing w:line="240" w:lineRule="atLeast"/>
      <w:ind w:firstLine="238"/>
      <w:jc w:val="both"/>
      <w:textAlignment w:val="baseline"/>
    </w:pPr>
    <w:rPr>
      <w:sz w:val="22"/>
      <w:szCs w:val="22"/>
    </w:rPr>
  </w:style>
  <w:style w:type="paragraph" w:styleId="NormalIndent">
    <w:name w:val="Normal Indent"/>
    <w:basedOn w:val="Normal"/>
    <w:pPr>
      <w:ind w:left="720"/>
    </w:pPr>
  </w:style>
  <w:style w:type="paragraph" w:customStyle="1" w:styleId="IWAFigureTableLegend">
    <w:name w:val="(IWA) Figure/Table Legend"/>
    <w:basedOn w:val="Normal"/>
    <w:uiPriority w:val="99"/>
    <w:rPr>
      <w:rFonts w:ascii="Arial" w:hAnsi="Arial" w:cs="Arial"/>
      <w:sz w:val="18"/>
      <w:szCs w:val="18"/>
    </w:rPr>
  </w:style>
  <w:style w:type="paragraph" w:customStyle="1" w:styleId="IWAHeading">
    <w:name w:val="(IWA) Heading"/>
    <w:basedOn w:val="Normal"/>
    <w:rPr>
      <w:rFonts w:ascii="Arial" w:hAnsi="Arial" w:cs="Arial"/>
      <w:b/>
      <w:bCs/>
    </w:rPr>
  </w:style>
  <w:style w:type="paragraph" w:customStyle="1" w:styleId="IWASub-heading">
    <w:name w:val="(IWA) Sub-heading"/>
    <w:basedOn w:val="NormalIndent"/>
    <w:rPr>
      <w:rFonts w:ascii="Arial" w:hAnsi="Arial" w:cs="Arial"/>
      <w:b/>
      <w:bCs/>
      <w:sz w:val="22"/>
      <w:szCs w:val="22"/>
    </w:rPr>
  </w:style>
  <w:style w:type="paragraph" w:styleId="BodyText">
    <w:name w:val="Body Text"/>
    <w:basedOn w:val="Normal"/>
    <w:pPr>
      <w:spacing w:after="120"/>
    </w:pPr>
  </w:style>
  <w:style w:type="paragraph" w:styleId="BodyTextFirstIndent">
    <w:name w:val="Body Text First Indent"/>
    <w:basedOn w:val="BodyText"/>
    <w:pPr>
      <w:ind w:firstLine="210"/>
    </w:pPr>
  </w:style>
  <w:style w:type="paragraph" w:customStyle="1" w:styleId="ListNumber1">
    <w:name w:val="List Number1"/>
    <w:basedOn w:val="ListBullet"/>
    <w:pPr>
      <w:suppressLineNumbers/>
      <w:tabs>
        <w:tab w:val="left" w:pos="648"/>
      </w:tabs>
      <w:overflowPunct w:val="0"/>
      <w:autoSpaceDE w:val="0"/>
      <w:autoSpaceDN w:val="0"/>
      <w:adjustRightInd w:val="0"/>
      <w:spacing w:line="240" w:lineRule="exact"/>
      <w:jc w:val="both"/>
      <w:textAlignment w:val="baseline"/>
    </w:pPr>
    <w:rPr>
      <w:sz w:val="20"/>
      <w:szCs w:val="20"/>
    </w:rPr>
  </w:style>
  <w:style w:type="paragraph" w:customStyle="1" w:styleId="Authornames">
    <w:name w:val="Author name(s)"/>
    <w:basedOn w:val="Normal"/>
    <w:next w:val="Normal"/>
    <w:uiPriority w:val="99"/>
    <w:pPr>
      <w:suppressLineNumbers/>
      <w:suppressAutoHyphens/>
      <w:overflowPunct w:val="0"/>
      <w:autoSpaceDE w:val="0"/>
      <w:autoSpaceDN w:val="0"/>
      <w:adjustRightInd w:val="0"/>
      <w:spacing w:before="240" w:after="120" w:line="240" w:lineRule="exact"/>
      <w:textAlignment w:val="baseline"/>
    </w:pPr>
    <w:rPr>
      <w:rFonts w:ascii="Arial" w:hAnsi="Arial" w:cs="Arial"/>
      <w:b/>
      <w:bCs/>
      <w:sz w:val="20"/>
      <w:szCs w:val="20"/>
    </w:rPr>
  </w:style>
  <w:style w:type="paragraph" w:customStyle="1" w:styleId="Authoraddress">
    <w:name w:val="Author address"/>
    <w:basedOn w:val="Normal"/>
    <w:next w:val="Normal"/>
    <w:uiPriority w:val="99"/>
    <w:pPr>
      <w:suppressLineNumbers/>
      <w:suppressAutoHyphens/>
      <w:overflowPunct w:val="0"/>
      <w:autoSpaceDE w:val="0"/>
      <w:autoSpaceDN w:val="0"/>
      <w:adjustRightInd w:val="0"/>
      <w:spacing w:line="220" w:lineRule="atLeast"/>
      <w:textAlignment w:val="baseline"/>
    </w:pPr>
    <w:rPr>
      <w:rFonts w:ascii="Arial" w:hAnsi="Arial" w:cs="Arial"/>
      <w:sz w:val="18"/>
      <w:szCs w:val="18"/>
    </w:rPr>
  </w:style>
  <w:style w:type="paragraph" w:styleId="ListBullet">
    <w:name w:val="List Bullet"/>
    <w:basedOn w:val="Normal"/>
    <w:autoRedefine/>
    <w:pPr>
      <w:ind w:left="648" w:hanging="360"/>
    </w:pPr>
  </w:style>
  <w:style w:type="paragraph" w:customStyle="1" w:styleId="Heading3a">
    <w:name w:val="Heading 3a"/>
    <w:basedOn w:val="Heading3"/>
    <w:next w:val="Normal"/>
    <w:pPr>
      <w:spacing w:before="0" w:line="240" w:lineRule="exact"/>
      <w:outlineLvl w:val="9"/>
    </w:pPr>
    <w:rPr>
      <w:rFonts w:cs="Times New Roman"/>
      <w:iCs w:val="0"/>
      <w:sz w:val="20"/>
      <w:szCs w:val="20"/>
    </w:rPr>
  </w:style>
  <w:style w:type="paragraph" w:customStyle="1" w:styleId="Tabletitle">
    <w:name w:val="Table title"/>
    <w:basedOn w:val="Normal"/>
    <w:next w:val="Normal"/>
    <w:uiPriority w:val="99"/>
    <w:pPr>
      <w:keepNext/>
      <w:keepLines/>
      <w:widowControl w:val="0"/>
      <w:suppressLineNumbers/>
      <w:overflowPunct w:val="0"/>
      <w:autoSpaceDE w:val="0"/>
      <w:autoSpaceDN w:val="0"/>
      <w:adjustRightInd w:val="0"/>
      <w:spacing w:before="160" w:after="120" w:line="200" w:lineRule="exact"/>
      <w:jc w:val="both"/>
      <w:textAlignment w:val="baseline"/>
    </w:pPr>
    <w:rPr>
      <w:rFonts w:ascii="Arial" w:hAnsi="Arial"/>
      <w:sz w:val="18"/>
      <w:szCs w:val="20"/>
    </w:rPr>
  </w:style>
  <w:style w:type="paragraph" w:styleId="NormalWeb">
    <w:name w:val="Normal (Web)"/>
    <w:basedOn w:val="Normal"/>
    <w:uiPriority w:val="99"/>
    <w:unhideWhenUsed/>
    <w:rsid w:val="00FE6BE5"/>
    <w:pPr>
      <w:spacing w:before="100" w:beforeAutospacing="1" w:after="100" w:afterAutospacing="1"/>
    </w:pPr>
    <w:rPr>
      <w:lang w:eastAsia="en-GB"/>
    </w:rPr>
  </w:style>
  <w:style w:type="paragraph" w:customStyle="1" w:styleId="IWAFigure">
    <w:name w:val="(IWA) Figure"/>
    <w:basedOn w:val="Normal"/>
    <w:rsid w:val="005E76FD"/>
    <w:pPr>
      <w:spacing w:before="240" w:after="120"/>
      <w:jc w:val="center"/>
    </w:pPr>
    <w:rPr>
      <w:rFonts w:ascii="Arial" w:hAnsi="Arial"/>
      <w:sz w:val="22"/>
    </w:rPr>
  </w:style>
  <w:style w:type="character" w:customStyle="1" w:styleId="IWATableFigureheadingZchn">
    <w:name w:val="(IWA) Table/Figure heading Zchn"/>
    <w:link w:val="IWATableFigureheading"/>
    <w:locked/>
    <w:rsid w:val="005E76FD"/>
    <w:rPr>
      <w:rFonts w:ascii="Arial" w:hAnsi="Arial" w:cs="Arial"/>
      <w:bCs/>
      <w:sz w:val="18"/>
      <w:lang w:val="en-GB"/>
    </w:rPr>
  </w:style>
  <w:style w:type="paragraph" w:customStyle="1" w:styleId="IWATableFigureheading">
    <w:name w:val="(IWA) Table/Figure heading"/>
    <w:basedOn w:val="Normal"/>
    <w:link w:val="IWATableFigureheadingZchn"/>
    <w:rsid w:val="005E76FD"/>
    <w:pPr>
      <w:keepNext/>
      <w:keepLines/>
      <w:widowControl w:val="0"/>
      <w:suppressLineNumbers/>
      <w:overflowPunct w:val="0"/>
      <w:autoSpaceDE w:val="0"/>
      <w:autoSpaceDN w:val="0"/>
      <w:adjustRightInd w:val="0"/>
      <w:spacing w:before="240" w:after="120" w:line="200" w:lineRule="exact"/>
      <w:jc w:val="both"/>
    </w:pPr>
    <w:rPr>
      <w:rFonts w:ascii="Arial" w:hAnsi="Arial" w:cs="Arial"/>
      <w:bCs/>
      <w:sz w:val="18"/>
      <w:szCs w:val="20"/>
    </w:rPr>
  </w:style>
  <w:style w:type="paragraph" w:styleId="Header">
    <w:name w:val="header"/>
    <w:basedOn w:val="Normal"/>
    <w:link w:val="HeaderChar"/>
    <w:uiPriority w:val="99"/>
    <w:rsid w:val="004C4141"/>
    <w:pPr>
      <w:tabs>
        <w:tab w:val="center" w:pos="4536"/>
        <w:tab w:val="right" w:pos="9072"/>
      </w:tabs>
    </w:pPr>
  </w:style>
  <w:style w:type="character" w:customStyle="1" w:styleId="HeaderChar">
    <w:name w:val="Header Char"/>
    <w:link w:val="Header"/>
    <w:uiPriority w:val="99"/>
    <w:rsid w:val="004C4141"/>
    <w:rPr>
      <w:sz w:val="24"/>
      <w:szCs w:val="24"/>
      <w:lang w:val="en-GB" w:eastAsia="en-US"/>
    </w:rPr>
  </w:style>
  <w:style w:type="paragraph" w:styleId="BalloonText">
    <w:name w:val="Balloon Text"/>
    <w:basedOn w:val="Normal"/>
    <w:link w:val="BalloonTextChar"/>
    <w:rsid w:val="004C4141"/>
    <w:rPr>
      <w:rFonts w:ascii="Tahoma" w:hAnsi="Tahoma" w:cs="Tahoma"/>
      <w:sz w:val="16"/>
      <w:szCs w:val="16"/>
    </w:rPr>
  </w:style>
  <w:style w:type="character" w:customStyle="1" w:styleId="BalloonTextChar">
    <w:name w:val="Balloon Text Char"/>
    <w:link w:val="BalloonText"/>
    <w:rsid w:val="004C4141"/>
    <w:rPr>
      <w:rFonts w:ascii="Tahoma" w:hAnsi="Tahoma" w:cs="Tahoma"/>
      <w:sz w:val="16"/>
      <w:szCs w:val="16"/>
      <w:lang w:val="en-GB"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0A5F35"/>
    <w:rPr>
      <w:sz w:val="22"/>
      <w:szCs w:val="22"/>
      <w:lang w:val="en-GB" w:eastAsia="en-US"/>
    </w:rPr>
  </w:style>
  <w:style w:type="character" w:styleId="Hyperlink">
    <w:name w:val="Hyperlink"/>
    <w:basedOn w:val="DefaultParagraphFont"/>
    <w:uiPriority w:val="99"/>
    <w:unhideWhenUsed/>
    <w:rsid w:val="003F344B"/>
    <w:rPr>
      <w:color w:val="467886" w:themeColor="hyperlink"/>
      <w:u w:val="single"/>
    </w:rPr>
  </w:style>
  <w:style w:type="character" w:styleId="UnresolvedMention">
    <w:name w:val="Unresolved Mention"/>
    <w:basedOn w:val="DefaultParagraphFont"/>
    <w:uiPriority w:val="99"/>
    <w:semiHidden/>
    <w:unhideWhenUsed/>
    <w:rsid w:val="003F34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82258">
      <w:bodyDiv w:val="1"/>
      <w:marLeft w:val="0"/>
      <w:marRight w:val="0"/>
      <w:marTop w:val="0"/>
      <w:marBottom w:val="0"/>
      <w:divBdr>
        <w:top w:val="none" w:sz="0" w:space="0" w:color="auto"/>
        <w:left w:val="none" w:sz="0" w:space="0" w:color="auto"/>
        <w:bottom w:val="none" w:sz="0" w:space="0" w:color="auto"/>
        <w:right w:val="none" w:sz="0" w:space="0" w:color="auto"/>
      </w:divBdr>
    </w:div>
    <w:div w:id="731738572">
      <w:bodyDiv w:val="1"/>
      <w:marLeft w:val="0"/>
      <w:marRight w:val="0"/>
      <w:marTop w:val="0"/>
      <w:marBottom w:val="0"/>
      <w:divBdr>
        <w:top w:val="none" w:sz="0" w:space="0" w:color="auto"/>
        <w:left w:val="none" w:sz="0" w:space="0" w:color="auto"/>
        <w:bottom w:val="none" w:sz="0" w:space="0" w:color="auto"/>
        <w:right w:val="none" w:sz="0" w:space="0" w:color="auto"/>
      </w:divBdr>
    </w:div>
    <w:div w:id="876049161">
      <w:bodyDiv w:val="1"/>
      <w:marLeft w:val="0"/>
      <w:marRight w:val="0"/>
      <w:marTop w:val="0"/>
      <w:marBottom w:val="0"/>
      <w:divBdr>
        <w:top w:val="none" w:sz="0" w:space="0" w:color="auto"/>
        <w:left w:val="none" w:sz="0" w:space="0" w:color="auto"/>
        <w:bottom w:val="none" w:sz="0" w:space="0" w:color="auto"/>
        <w:right w:val="none" w:sz="0" w:space="0" w:color="auto"/>
      </w:divBdr>
    </w:div>
    <w:div w:id="1822889870">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4002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lusanjo2017@yahoo.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Olusanjo2019@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OneDrive\Documents\2025%20Publications\Abstracts\Sustainability_Climate%20Resilience%20and%20Water%20Innovation%20in%20Africa\Water%20Access%20Data-June%202025%20for%20u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OneDrive\Documents\2025%20Publications\Abstracts\Sustainability_Climate%20Resilience%20and%20Water%20Innovation%20in%20Africa\Data%20on%20Water%20Acces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'[Water Access Data-June 2025 for use.xlsx]Sheet3'!$A$2</c:f>
              <c:strCache>
                <c:ptCount val="1"/>
                <c:pt idx="0">
                  <c:v>Ethiopia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'[Water Access Data-June 2025 for use.xlsx]Sheet3'!$B$1:$K$1</c:f>
              <c:numCache>
                <c:formatCode>General</c:formatCode>
                <c:ptCount val="10"/>
                <c:pt idx="0">
                  <c:v>2022</c:v>
                </c:pt>
                <c:pt idx="1">
                  <c:v>2021</c:v>
                </c:pt>
                <c:pt idx="2">
                  <c:v>2020</c:v>
                </c:pt>
                <c:pt idx="3">
                  <c:v>2019</c:v>
                </c:pt>
                <c:pt idx="4">
                  <c:v>2018</c:v>
                </c:pt>
                <c:pt idx="5">
                  <c:v>2017</c:v>
                </c:pt>
                <c:pt idx="6">
                  <c:v>2016</c:v>
                </c:pt>
                <c:pt idx="7">
                  <c:v>2015</c:v>
                </c:pt>
                <c:pt idx="8">
                  <c:v>2014</c:v>
                </c:pt>
                <c:pt idx="9">
                  <c:v>2013</c:v>
                </c:pt>
              </c:numCache>
            </c:numRef>
          </c:cat>
          <c:val>
            <c:numRef>
              <c:f>'[Water Access Data-June 2025 for use.xlsx]Sheet3'!$B$2:$K$2</c:f>
              <c:numCache>
                <c:formatCode>General</c:formatCode>
                <c:ptCount val="10"/>
                <c:pt idx="0">
                  <c:v>51.51</c:v>
                </c:pt>
                <c:pt idx="1">
                  <c:v>50.04</c:v>
                </c:pt>
                <c:pt idx="2">
                  <c:v>48.66</c:v>
                </c:pt>
                <c:pt idx="3">
                  <c:v>47.25</c:v>
                </c:pt>
                <c:pt idx="4">
                  <c:v>45.84</c:v>
                </c:pt>
                <c:pt idx="5">
                  <c:v>44.41</c:v>
                </c:pt>
                <c:pt idx="6">
                  <c:v>42.97</c:v>
                </c:pt>
                <c:pt idx="7">
                  <c:v>41.51</c:v>
                </c:pt>
                <c:pt idx="8">
                  <c:v>40.04</c:v>
                </c:pt>
                <c:pt idx="9">
                  <c:v>38.549999999999997</c:v>
                </c:pt>
              </c:numCache>
            </c:numRef>
          </c:val>
          <c:smooth val="0"/>
          <c:extLst>
            <c:ext xmlns:c16="http://schemas.microsoft.com/office/drawing/2014/chart" uri="{C3380CC4-5D6E-409C-BE32-E72D297353CC}">
              <c16:uniqueId val="{00000000-950D-4E16-ABA9-79ABF6FA716C}"/>
            </c:ext>
          </c:extLst>
        </c:ser>
        <c:ser>
          <c:idx val="1"/>
          <c:order val="1"/>
          <c:tx>
            <c:strRef>
              <c:f>'[Water Access Data-June 2025 for use.xlsx]Sheet3'!$A$3</c:f>
              <c:strCache>
                <c:ptCount val="1"/>
                <c:pt idx="0">
                  <c:v>Kenya</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'[Water Access Data-June 2025 for use.xlsx]Sheet3'!$B$1:$K$1</c:f>
              <c:numCache>
                <c:formatCode>General</c:formatCode>
                <c:ptCount val="10"/>
                <c:pt idx="0">
                  <c:v>2022</c:v>
                </c:pt>
                <c:pt idx="1">
                  <c:v>2021</c:v>
                </c:pt>
                <c:pt idx="2">
                  <c:v>2020</c:v>
                </c:pt>
                <c:pt idx="3">
                  <c:v>2019</c:v>
                </c:pt>
                <c:pt idx="4">
                  <c:v>2018</c:v>
                </c:pt>
                <c:pt idx="5">
                  <c:v>2017</c:v>
                </c:pt>
                <c:pt idx="6">
                  <c:v>2016</c:v>
                </c:pt>
                <c:pt idx="7">
                  <c:v>2015</c:v>
                </c:pt>
                <c:pt idx="8">
                  <c:v>2014</c:v>
                </c:pt>
                <c:pt idx="9">
                  <c:v>2013</c:v>
                </c:pt>
              </c:numCache>
            </c:numRef>
          </c:cat>
          <c:val>
            <c:numRef>
              <c:f>'[Water Access Data-June 2025 for use.xlsx]Sheet3'!$B$3:$K$3</c:f>
              <c:numCache>
                <c:formatCode>General</c:formatCode>
                <c:ptCount val="10"/>
                <c:pt idx="0">
                  <c:v>62.86</c:v>
                </c:pt>
                <c:pt idx="1">
                  <c:v>62.19</c:v>
                </c:pt>
                <c:pt idx="2">
                  <c:v>61.53</c:v>
                </c:pt>
                <c:pt idx="3">
                  <c:v>60.86</c:v>
                </c:pt>
                <c:pt idx="4">
                  <c:v>60.19</c:v>
                </c:pt>
                <c:pt idx="5">
                  <c:v>59.51</c:v>
                </c:pt>
                <c:pt idx="6">
                  <c:v>58.83</c:v>
                </c:pt>
                <c:pt idx="7">
                  <c:v>58.14</c:v>
                </c:pt>
                <c:pt idx="8">
                  <c:v>57.45</c:v>
                </c:pt>
                <c:pt idx="9">
                  <c:v>56.76</c:v>
                </c:pt>
              </c:numCache>
            </c:numRef>
          </c:val>
          <c:smooth val="0"/>
          <c:extLst>
            <c:ext xmlns:c16="http://schemas.microsoft.com/office/drawing/2014/chart" uri="{C3380CC4-5D6E-409C-BE32-E72D297353CC}">
              <c16:uniqueId val="{00000001-950D-4E16-ABA9-79ABF6FA716C}"/>
            </c:ext>
          </c:extLst>
        </c:ser>
        <c:ser>
          <c:idx val="2"/>
          <c:order val="2"/>
          <c:tx>
            <c:strRef>
              <c:f>'[Water Access Data-June 2025 for use.xlsx]Sheet3'!$A$4</c:f>
              <c:strCache>
                <c:ptCount val="1"/>
                <c:pt idx="0">
                  <c:v>Nigeria</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'[Water Access Data-June 2025 for use.xlsx]Sheet3'!$B$1:$K$1</c:f>
              <c:numCache>
                <c:formatCode>General</c:formatCode>
                <c:ptCount val="10"/>
                <c:pt idx="0">
                  <c:v>2022</c:v>
                </c:pt>
                <c:pt idx="1">
                  <c:v>2021</c:v>
                </c:pt>
                <c:pt idx="2">
                  <c:v>2020</c:v>
                </c:pt>
                <c:pt idx="3">
                  <c:v>2019</c:v>
                </c:pt>
                <c:pt idx="4">
                  <c:v>2018</c:v>
                </c:pt>
                <c:pt idx="5">
                  <c:v>2017</c:v>
                </c:pt>
                <c:pt idx="6">
                  <c:v>2016</c:v>
                </c:pt>
                <c:pt idx="7">
                  <c:v>2015</c:v>
                </c:pt>
                <c:pt idx="8">
                  <c:v>2014</c:v>
                </c:pt>
                <c:pt idx="9">
                  <c:v>2013</c:v>
                </c:pt>
              </c:numCache>
            </c:numRef>
          </c:cat>
          <c:val>
            <c:numRef>
              <c:f>'[Water Access Data-June 2025 for use.xlsx]Sheet3'!$B$4:$K$4</c:f>
              <c:numCache>
                <c:formatCode>General</c:formatCode>
                <c:ptCount val="10"/>
                <c:pt idx="0">
                  <c:v>79.64</c:v>
                </c:pt>
                <c:pt idx="1">
                  <c:v>78</c:v>
                </c:pt>
                <c:pt idx="2">
                  <c:v>76.36</c:v>
                </c:pt>
                <c:pt idx="3">
                  <c:v>74.72</c:v>
                </c:pt>
                <c:pt idx="4">
                  <c:v>73.09</c:v>
                </c:pt>
                <c:pt idx="5">
                  <c:v>71.45</c:v>
                </c:pt>
                <c:pt idx="6">
                  <c:v>69.819999999999993</c:v>
                </c:pt>
                <c:pt idx="7">
                  <c:v>68.19</c:v>
                </c:pt>
                <c:pt idx="8">
                  <c:v>66.55</c:v>
                </c:pt>
                <c:pt idx="9">
                  <c:v>64.92</c:v>
                </c:pt>
              </c:numCache>
            </c:numRef>
          </c:val>
          <c:smooth val="0"/>
          <c:extLst>
            <c:ext xmlns:c16="http://schemas.microsoft.com/office/drawing/2014/chart" uri="{C3380CC4-5D6E-409C-BE32-E72D297353CC}">
              <c16:uniqueId val="{00000002-950D-4E16-ABA9-79ABF6FA716C}"/>
            </c:ext>
          </c:extLst>
        </c:ser>
        <c:ser>
          <c:idx val="3"/>
          <c:order val="3"/>
          <c:tx>
            <c:strRef>
              <c:f>'[Water Access Data-June 2025 for use.xlsx]Sheet3'!$A$5</c:f>
              <c:strCache>
                <c:ptCount val="1"/>
                <c:pt idx="0">
                  <c:v>Namibia</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'[Water Access Data-June 2025 for use.xlsx]Sheet3'!$B$1:$K$1</c:f>
              <c:numCache>
                <c:formatCode>General</c:formatCode>
                <c:ptCount val="10"/>
                <c:pt idx="0">
                  <c:v>2022</c:v>
                </c:pt>
                <c:pt idx="1">
                  <c:v>2021</c:v>
                </c:pt>
                <c:pt idx="2">
                  <c:v>2020</c:v>
                </c:pt>
                <c:pt idx="3">
                  <c:v>2019</c:v>
                </c:pt>
                <c:pt idx="4">
                  <c:v>2018</c:v>
                </c:pt>
                <c:pt idx="5">
                  <c:v>2017</c:v>
                </c:pt>
                <c:pt idx="6">
                  <c:v>2016</c:v>
                </c:pt>
                <c:pt idx="7">
                  <c:v>2015</c:v>
                </c:pt>
                <c:pt idx="8">
                  <c:v>2014</c:v>
                </c:pt>
                <c:pt idx="9">
                  <c:v>2013</c:v>
                </c:pt>
              </c:numCache>
            </c:numRef>
          </c:cat>
          <c:val>
            <c:numRef>
              <c:f>'[Water Access Data-June 2025 for use.xlsx]Sheet3'!$B$5:$K$5</c:f>
              <c:numCache>
                <c:formatCode>General</c:formatCode>
                <c:ptCount val="10"/>
                <c:pt idx="0">
                  <c:v>85.91</c:v>
                </c:pt>
                <c:pt idx="1">
                  <c:v>85.67</c:v>
                </c:pt>
                <c:pt idx="2">
                  <c:v>85.28</c:v>
                </c:pt>
                <c:pt idx="3">
                  <c:v>84.84</c:v>
                </c:pt>
                <c:pt idx="4">
                  <c:v>84.4</c:v>
                </c:pt>
                <c:pt idx="5">
                  <c:v>84</c:v>
                </c:pt>
                <c:pt idx="6">
                  <c:v>83.59</c:v>
                </c:pt>
                <c:pt idx="7">
                  <c:v>83.16</c:v>
                </c:pt>
                <c:pt idx="8">
                  <c:v>82.72</c:v>
                </c:pt>
                <c:pt idx="9">
                  <c:v>82.28</c:v>
                </c:pt>
              </c:numCache>
            </c:numRef>
          </c:val>
          <c:smooth val="0"/>
          <c:extLst>
            <c:ext xmlns:c16="http://schemas.microsoft.com/office/drawing/2014/chart" uri="{C3380CC4-5D6E-409C-BE32-E72D297353CC}">
              <c16:uniqueId val="{00000003-950D-4E16-ABA9-79ABF6FA716C}"/>
            </c:ext>
          </c:extLst>
        </c:ser>
        <c:ser>
          <c:idx val="4"/>
          <c:order val="4"/>
          <c:tx>
            <c:strRef>
              <c:f>'[Water Access Data-June 2025 for use.xlsx]Sheet3'!$A$6</c:f>
              <c:strCache>
                <c:ptCount val="1"/>
                <c:pt idx="0">
                  <c:v>South Africa</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'[Water Access Data-June 2025 for use.xlsx]Sheet3'!$B$1:$K$1</c:f>
              <c:numCache>
                <c:formatCode>General</c:formatCode>
                <c:ptCount val="10"/>
                <c:pt idx="0">
                  <c:v>2022</c:v>
                </c:pt>
                <c:pt idx="1">
                  <c:v>2021</c:v>
                </c:pt>
                <c:pt idx="2">
                  <c:v>2020</c:v>
                </c:pt>
                <c:pt idx="3">
                  <c:v>2019</c:v>
                </c:pt>
                <c:pt idx="4">
                  <c:v>2018</c:v>
                </c:pt>
                <c:pt idx="5">
                  <c:v>2017</c:v>
                </c:pt>
                <c:pt idx="6">
                  <c:v>2016</c:v>
                </c:pt>
                <c:pt idx="7">
                  <c:v>2015</c:v>
                </c:pt>
                <c:pt idx="8">
                  <c:v>2014</c:v>
                </c:pt>
                <c:pt idx="9">
                  <c:v>2013</c:v>
                </c:pt>
              </c:numCache>
            </c:numRef>
          </c:cat>
          <c:val>
            <c:numRef>
              <c:f>'[Water Access Data-June 2025 for use.xlsx]Sheet3'!$B$6:$K$6</c:f>
              <c:numCache>
                <c:formatCode>General</c:formatCode>
                <c:ptCount val="10"/>
                <c:pt idx="0">
                  <c:v>94.49</c:v>
                </c:pt>
                <c:pt idx="1">
                  <c:v>94.13</c:v>
                </c:pt>
                <c:pt idx="2">
                  <c:v>93.77</c:v>
                </c:pt>
                <c:pt idx="3">
                  <c:v>93.39</c:v>
                </c:pt>
                <c:pt idx="4">
                  <c:v>93</c:v>
                </c:pt>
                <c:pt idx="5">
                  <c:v>92.61</c:v>
                </c:pt>
                <c:pt idx="6">
                  <c:v>92.21</c:v>
                </c:pt>
                <c:pt idx="7">
                  <c:v>91.8</c:v>
                </c:pt>
                <c:pt idx="8">
                  <c:v>91.38</c:v>
                </c:pt>
                <c:pt idx="9">
                  <c:v>90.75</c:v>
                </c:pt>
              </c:numCache>
            </c:numRef>
          </c:val>
          <c:smooth val="0"/>
          <c:extLst>
            <c:ext xmlns:c16="http://schemas.microsoft.com/office/drawing/2014/chart" uri="{C3380CC4-5D6E-409C-BE32-E72D297353CC}">
              <c16:uniqueId val="{00000004-950D-4E16-ABA9-79ABF6FA716C}"/>
            </c:ext>
          </c:extLst>
        </c:ser>
        <c:dLbls>
          <c:showLegendKey val="0"/>
          <c:showVal val="0"/>
          <c:showCatName val="0"/>
          <c:showSerName val="0"/>
          <c:showPercent val="0"/>
          <c:showBubbleSize val="0"/>
        </c:dLbls>
        <c:marker val="1"/>
        <c:smooth val="0"/>
        <c:axId val="615770136"/>
        <c:axId val="615770920"/>
      </c:lineChart>
      <c:catAx>
        <c:axId val="615770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Households'</a:t>
                </a:r>
                <a:r>
                  <a:rPr lang="en-US" baseline="0"/>
                  <a:t> a</a:t>
                </a:r>
                <a:r>
                  <a:rPr lang="en-US"/>
                  <a:t>ccess to water in years (2013-2022)</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5770920"/>
        <c:crosses val="autoZero"/>
        <c:auto val="1"/>
        <c:lblAlgn val="ctr"/>
        <c:lblOffset val="100"/>
        <c:noMultiLvlLbl val="0"/>
      </c:catAx>
      <c:valAx>
        <c:axId val="615770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57701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marL="1655064">
        <a:spcBef>
          <a:spcPts val="1200"/>
        </a:spcBef>
        <a:spcAft>
          <a:spcPts val="600"/>
        </a:spcAft>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 on Water Access.xlsx]Total'!$A$3</c:f>
              <c:strCache>
                <c:ptCount val="1"/>
                <c:pt idx="0">
                  <c:v>Accessible on premises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on Water Access.xlsx]Total'!$B$1:$K$2</c:f>
              <c:multiLvlStrCache>
                <c:ptCount val="10"/>
                <c:lvl>
                  <c:pt idx="0">
                    <c:v>2015</c:v>
                  </c:pt>
                  <c:pt idx="1">
                    <c:v>2022</c:v>
                  </c:pt>
                  <c:pt idx="2">
                    <c:v>2015</c:v>
                  </c:pt>
                  <c:pt idx="3">
                    <c:v>2022</c:v>
                  </c:pt>
                  <c:pt idx="4">
                    <c:v>2015</c:v>
                  </c:pt>
                  <c:pt idx="5">
                    <c:v>2022</c:v>
                  </c:pt>
                  <c:pt idx="6">
                    <c:v>2015</c:v>
                  </c:pt>
                  <c:pt idx="7">
                    <c:v>2022</c:v>
                  </c:pt>
                  <c:pt idx="8">
                    <c:v>2015</c:v>
                  </c:pt>
                  <c:pt idx="9">
                    <c:v>2022</c:v>
                  </c:pt>
                </c:lvl>
                <c:lvl>
                  <c:pt idx="0">
                    <c:v>Ethiopia</c:v>
                  </c:pt>
                  <c:pt idx="2">
                    <c:v>Kenya</c:v>
                  </c:pt>
                  <c:pt idx="4">
                    <c:v>Nigeria</c:v>
                  </c:pt>
                  <c:pt idx="6">
                    <c:v>Namibia</c:v>
                  </c:pt>
                  <c:pt idx="8">
                    <c:v>South Africa</c:v>
                  </c:pt>
                </c:lvl>
              </c:multiLvlStrCache>
            </c:multiLvlStrRef>
          </c:cat>
          <c:val>
            <c:numRef>
              <c:f>'[Data on Water Access.xlsx]Total'!$B$3:$K$3</c:f>
              <c:numCache>
                <c:formatCode>General</c:formatCode>
                <c:ptCount val="10"/>
                <c:pt idx="0">
                  <c:v>15</c:v>
                </c:pt>
                <c:pt idx="1">
                  <c:v>22</c:v>
                </c:pt>
                <c:pt idx="2">
                  <c:v>33</c:v>
                </c:pt>
                <c:pt idx="3">
                  <c:v>40</c:v>
                </c:pt>
                <c:pt idx="4">
                  <c:v>27</c:v>
                </c:pt>
                <c:pt idx="5">
                  <c:v>35</c:v>
                </c:pt>
                <c:pt idx="6">
                  <c:v>59</c:v>
                </c:pt>
                <c:pt idx="7">
                  <c:v>62</c:v>
                </c:pt>
                <c:pt idx="8">
                  <c:v>75</c:v>
                </c:pt>
                <c:pt idx="9">
                  <c:v>79</c:v>
                </c:pt>
              </c:numCache>
            </c:numRef>
          </c:val>
          <c:extLst>
            <c:ext xmlns:c16="http://schemas.microsoft.com/office/drawing/2014/chart" uri="{C3380CC4-5D6E-409C-BE32-E72D297353CC}">
              <c16:uniqueId val="{00000000-47FC-4821-AEFD-E1A66DF977CE}"/>
            </c:ext>
          </c:extLst>
        </c:ser>
        <c:ser>
          <c:idx val="1"/>
          <c:order val="1"/>
          <c:tx>
            <c:strRef>
              <c:f>'[Data on Water Access.xlsx]Total'!$A$4</c:f>
              <c:strCache>
                <c:ptCount val="1"/>
                <c:pt idx="0">
                  <c:v>Available when needed</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8"/>
              <c:layout>
                <c:manualLayout>
                  <c:x val="-1.0185067526415994E-16"/>
                  <c:y val="-4.16666666666666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FC-4821-AEFD-E1A66DF977CE}"/>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on Water Access.xlsx]Total'!$B$1:$K$2</c:f>
              <c:multiLvlStrCache>
                <c:ptCount val="10"/>
                <c:lvl>
                  <c:pt idx="0">
                    <c:v>2015</c:v>
                  </c:pt>
                  <c:pt idx="1">
                    <c:v>2022</c:v>
                  </c:pt>
                  <c:pt idx="2">
                    <c:v>2015</c:v>
                  </c:pt>
                  <c:pt idx="3">
                    <c:v>2022</c:v>
                  </c:pt>
                  <c:pt idx="4">
                    <c:v>2015</c:v>
                  </c:pt>
                  <c:pt idx="5">
                    <c:v>2022</c:v>
                  </c:pt>
                  <c:pt idx="6">
                    <c:v>2015</c:v>
                  </c:pt>
                  <c:pt idx="7">
                    <c:v>2022</c:v>
                  </c:pt>
                  <c:pt idx="8">
                    <c:v>2015</c:v>
                  </c:pt>
                  <c:pt idx="9">
                    <c:v>2022</c:v>
                  </c:pt>
                </c:lvl>
                <c:lvl>
                  <c:pt idx="0">
                    <c:v>Ethiopia</c:v>
                  </c:pt>
                  <c:pt idx="2">
                    <c:v>Kenya</c:v>
                  </c:pt>
                  <c:pt idx="4">
                    <c:v>Nigeria</c:v>
                  </c:pt>
                  <c:pt idx="6">
                    <c:v>Namibia</c:v>
                  </c:pt>
                  <c:pt idx="8">
                    <c:v>South Africa</c:v>
                  </c:pt>
                </c:lvl>
              </c:multiLvlStrCache>
            </c:multiLvlStrRef>
          </c:cat>
          <c:val>
            <c:numRef>
              <c:f>'[Data on Water Access.xlsx]Total'!$B$4:$K$4</c:f>
              <c:numCache>
                <c:formatCode>General</c:formatCode>
                <c:ptCount val="10"/>
                <c:pt idx="0">
                  <c:v>52</c:v>
                </c:pt>
                <c:pt idx="1">
                  <c:v>67</c:v>
                </c:pt>
                <c:pt idx="2">
                  <c:v>51</c:v>
                </c:pt>
                <c:pt idx="3">
                  <c:v>59</c:v>
                </c:pt>
                <c:pt idx="4">
                  <c:v>63</c:v>
                </c:pt>
                <c:pt idx="5">
                  <c:v>64</c:v>
                </c:pt>
                <c:pt idx="6">
                  <c:v>67</c:v>
                </c:pt>
                <c:pt idx="7">
                  <c:v>70</c:v>
                </c:pt>
                <c:pt idx="8">
                  <c:v>74</c:v>
                </c:pt>
                <c:pt idx="9">
                  <c:v>71</c:v>
                </c:pt>
              </c:numCache>
            </c:numRef>
          </c:val>
          <c:extLst>
            <c:ext xmlns:c16="http://schemas.microsoft.com/office/drawing/2014/chart" uri="{C3380CC4-5D6E-409C-BE32-E72D297353CC}">
              <c16:uniqueId val="{00000002-47FC-4821-AEFD-E1A66DF977CE}"/>
            </c:ext>
          </c:extLst>
        </c:ser>
        <c:ser>
          <c:idx val="2"/>
          <c:order val="2"/>
          <c:tx>
            <c:strRef>
              <c:f>'[Data on Water Access.xlsx]Total'!$A$5</c:f>
              <c:strCache>
                <c:ptCount val="1"/>
                <c:pt idx="0">
                  <c:v>Free from contamination</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on Water Access.xlsx]Total'!$B$1:$K$2</c:f>
              <c:multiLvlStrCache>
                <c:ptCount val="10"/>
                <c:lvl>
                  <c:pt idx="0">
                    <c:v>2015</c:v>
                  </c:pt>
                  <c:pt idx="1">
                    <c:v>2022</c:v>
                  </c:pt>
                  <c:pt idx="2">
                    <c:v>2015</c:v>
                  </c:pt>
                  <c:pt idx="3">
                    <c:v>2022</c:v>
                  </c:pt>
                  <c:pt idx="4">
                    <c:v>2015</c:v>
                  </c:pt>
                  <c:pt idx="5">
                    <c:v>2022</c:v>
                  </c:pt>
                  <c:pt idx="6">
                    <c:v>2015</c:v>
                  </c:pt>
                  <c:pt idx="7">
                    <c:v>2022</c:v>
                  </c:pt>
                  <c:pt idx="8">
                    <c:v>2015</c:v>
                  </c:pt>
                  <c:pt idx="9">
                    <c:v>2022</c:v>
                  </c:pt>
                </c:lvl>
                <c:lvl>
                  <c:pt idx="0">
                    <c:v>Ethiopia</c:v>
                  </c:pt>
                  <c:pt idx="2">
                    <c:v>Kenya</c:v>
                  </c:pt>
                  <c:pt idx="4">
                    <c:v>Nigeria</c:v>
                  </c:pt>
                  <c:pt idx="6">
                    <c:v>Namibia</c:v>
                  </c:pt>
                  <c:pt idx="8">
                    <c:v>South Africa</c:v>
                  </c:pt>
                </c:lvl>
              </c:multiLvlStrCache>
            </c:multiLvlStrRef>
          </c:cat>
          <c:val>
            <c:numRef>
              <c:f>'[Data on Water Access.xlsx]Total'!$B$5:$K$5</c:f>
              <c:numCache>
                <c:formatCode>General</c:formatCode>
                <c:ptCount val="10"/>
                <c:pt idx="0">
                  <c:v>13</c:v>
                </c:pt>
                <c:pt idx="1">
                  <c:v>16</c:v>
                </c:pt>
                <c:pt idx="4">
                  <c:v>27</c:v>
                </c:pt>
                <c:pt idx="5">
                  <c:v>30</c:v>
                </c:pt>
              </c:numCache>
            </c:numRef>
          </c:val>
          <c:extLst>
            <c:ext xmlns:c16="http://schemas.microsoft.com/office/drawing/2014/chart" uri="{C3380CC4-5D6E-409C-BE32-E72D297353CC}">
              <c16:uniqueId val="{00000003-47FC-4821-AEFD-E1A66DF977CE}"/>
            </c:ext>
          </c:extLst>
        </c:ser>
        <c:ser>
          <c:idx val="3"/>
          <c:order val="3"/>
          <c:tx>
            <c:strRef>
              <c:f>'[Data on Water Access.xlsx]Total'!$A$6</c:f>
              <c:strCache>
                <c:ptCount val="1"/>
                <c:pt idx="0">
                  <c:v>Piped</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on Water Access.xlsx]Total'!$B$1:$K$2</c:f>
              <c:multiLvlStrCache>
                <c:ptCount val="10"/>
                <c:lvl>
                  <c:pt idx="0">
                    <c:v>2015</c:v>
                  </c:pt>
                  <c:pt idx="1">
                    <c:v>2022</c:v>
                  </c:pt>
                  <c:pt idx="2">
                    <c:v>2015</c:v>
                  </c:pt>
                  <c:pt idx="3">
                    <c:v>2022</c:v>
                  </c:pt>
                  <c:pt idx="4">
                    <c:v>2015</c:v>
                  </c:pt>
                  <c:pt idx="5">
                    <c:v>2022</c:v>
                  </c:pt>
                  <c:pt idx="6">
                    <c:v>2015</c:v>
                  </c:pt>
                  <c:pt idx="7">
                    <c:v>2022</c:v>
                  </c:pt>
                  <c:pt idx="8">
                    <c:v>2015</c:v>
                  </c:pt>
                  <c:pt idx="9">
                    <c:v>2022</c:v>
                  </c:pt>
                </c:lvl>
                <c:lvl>
                  <c:pt idx="0">
                    <c:v>Ethiopia</c:v>
                  </c:pt>
                  <c:pt idx="2">
                    <c:v>Kenya</c:v>
                  </c:pt>
                  <c:pt idx="4">
                    <c:v>Nigeria</c:v>
                  </c:pt>
                  <c:pt idx="6">
                    <c:v>Namibia</c:v>
                  </c:pt>
                  <c:pt idx="8">
                    <c:v>South Africa</c:v>
                  </c:pt>
                </c:lvl>
              </c:multiLvlStrCache>
            </c:multiLvlStrRef>
          </c:cat>
          <c:val>
            <c:numRef>
              <c:f>'[Data on Water Access.xlsx]Total'!$B$6:$K$6</c:f>
              <c:numCache>
                <c:formatCode>General</c:formatCode>
                <c:ptCount val="10"/>
                <c:pt idx="0">
                  <c:v>35</c:v>
                </c:pt>
                <c:pt idx="1">
                  <c:v>44</c:v>
                </c:pt>
                <c:pt idx="2">
                  <c:v>33</c:v>
                </c:pt>
                <c:pt idx="3">
                  <c:v>33</c:v>
                </c:pt>
                <c:pt idx="4">
                  <c:v>14</c:v>
                </c:pt>
                <c:pt idx="5">
                  <c:v>12</c:v>
                </c:pt>
                <c:pt idx="6">
                  <c:v>80</c:v>
                </c:pt>
                <c:pt idx="7">
                  <c:v>84</c:v>
                </c:pt>
                <c:pt idx="8">
                  <c:v>88</c:v>
                </c:pt>
                <c:pt idx="9">
                  <c:v>90</c:v>
                </c:pt>
              </c:numCache>
            </c:numRef>
          </c:val>
          <c:extLst>
            <c:ext xmlns:c16="http://schemas.microsoft.com/office/drawing/2014/chart" uri="{C3380CC4-5D6E-409C-BE32-E72D297353CC}">
              <c16:uniqueId val="{00000004-47FC-4821-AEFD-E1A66DF977CE}"/>
            </c:ext>
          </c:extLst>
        </c:ser>
        <c:ser>
          <c:idx val="4"/>
          <c:order val="4"/>
          <c:tx>
            <c:strRef>
              <c:f>'[Data on Water Access.xlsx]Total'!$A$7</c:f>
              <c:strCache>
                <c:ptCount val="1"/>
                <c:pt idx="0">
                  <c:v>Non-piped</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on Water Access.xlsx]Total'!$B$1:$K$2</c:f>
              <c:multiLvlStrCache>
                <c:ptCount val="10"/>
                <c:lvl>
                  <c:pt idx="0">
                    <c:v>2015</c:v>
                  </c:pt>
                  <c:pt idx="1">
                    <c:v>2022</c:v>
                  </c:pt>
                  <c:pt idx="2">
                    <c:v>2015</c:v>
                  </c:pt>
                  <c:pt idx="3">
                    <c:v>2022</c:v>
                  </c:pt>
                  <c:pt idx="4">
                    <c:v>2015</c:v>
                  </c:pt>
                  <c:pt idx="5">
                    <c:v>2022</c:v>
                  </c:pt>
                  <c:pt idx="6">
                    <c:v>2015</c:v>
                  </c:pt>
                  <c:pt idx="7">
                    <c:v>2022</c:v>
                  </c:pt>
                  <c:pt idx="8">
                    <c:v>2015</c:v>
                  </c:pt>
                  <c:pt idx="9">
                    <c:v>2022</c:v>
                  </c:pt>
                </c:lvl>
                <c:lvl>
                  <c:pt idx="0">
                    <c:v>Ethiopia</c:v>
                  </c:pt>
                  <c:pt idx="2">
                    <c:v>Kenya</c:v>
                  </c:pt>
                  <c:pt idx="4">
                    <c:v>Nigeria</c:v>
                  </c:pt>
                  <c:pt idx="6">
                    <c:v>Namibia</c:v>
                  </c:pt>
                  <c:pt idx="8">
                    <c:v>South Africa</c:v>
                  </c:pt>
                </c:lvl>
              </c:multiLvlStrCache>
            </c:multiLvlStrRef>
          </c:cat>
          <c:val>
            <c:numRef>
              <c:f>'[Data on Water Access.xlsx]Total'!$B$7:$K$7</c:f>
              <c:numCache>
                <c:formatCode>General</c:formatCode>
                <c:ptCount val="10"/>
                <c:pt idx="0">
                  <c:v>28</c:v>
                </c:pt>
                <c:pt idx="1">
                  <c:v>35</c:v>
                </c:pt>
                <c:pt idx="2">
                  <c:v>33</c:v>
                </c:pt>
                <c:pt idx="3">
                  <c:v>38</c:v>
                </c:pt>
                <c:pt idx="4">
                  <c:v>60</c:v>
                </c:pt>
                <c:pt idx="5">
                  <c:v>72</c:v>
                </c:pt>
                <c:pt idx="6">
                  <c:v>11</c:v>
                </c:pt>
                <c:pt idx="7">
                  <c:v>9</c:v>
                </c:pt>
                <c:pt idx="8">
                  <c:v>6</c:v>
                </c:pt>
                <c:pt idx="9">
                  <c:v>7</c:v>
                </c:pt>
              </c:numCache>
            </c:numRef>
          </c:val>
          <c:extLst>
            <c:ext xmlns:c16="http://schemas.microsoft.com/office/drawing/2014/chart" uri="{C3380CC4-5D6E-409C-BE32-E72D297353CC}">
              <c16:uniqueId val="{00000005-47FC-4821-AEFD-E1A66DF977CE}"/>
            </c:ext>
          </c:extLst>
        </c:ser>
        <c:dLbls>
          <c:dLblPos val="outEnd"/>
          <c:showLegendKey val="0"/>
          <c:showVal val="1"/>
          <c:showCatName val="0"/>
          <c:showSerName val="0"/>
          <c:showPercent val="0"/>
          <c:showBubbleSize val="0"/>
        </c:dLbls>
        <c:gapWidth val="100"/>
        <c:overlap val="-24"/>
        <c:axId val="615765432"/>
        <c:axId val="615765824"/>
      </c:barChart>
      <c:catAx>
        <c:axId val="615765432"/>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households' access</a:t>
                </a:r>
                <a:r>
                  <a:rPr lang="en-US" baseline="0"/>
                  <a:t> to water </a:t>
                </a:r>
                <a:r>
                  <a:rPr lang="en-US"/>
                  <a:t>(2015 and 2022)</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5765824"/>
        <c:crosses val="autoZero"/>
        <c:auto val="1"/>
        <c:lblAlgn val="ctr"/>
        <c:lblOffset val="100"/>
        <c:noMultiLvlLbl val="0"/>
      </c:catAx>
      <c:valAx>
        <c:axId val="615765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Percentages</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576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marL="1655064" algn="ctr">
        <a:spcBef>
          <a:spcPts val="1200"/>
        </a:spcBef>
        <a:spcAft>
          <a:spcPts val="600"/>
        </a:spcAft>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DBE34295EDFB4EB805750C6B957FCD" ma:contentTypeVersion="22" ma:contentTypeDescription="Create a new document." ma:contentTypeScope="" ma:versionID="48c5ad0c2372ca391965515a3e6f45e0">
  <xsd:schema xmlns:xsd="http://www.w3.org/2001/XMLSchema" xmlns:xs="http://www.w3.org/2001/XMLSchema" xmlns:p="http://schemas.microsoft.com/office/2006/metadata/properties" xmlns:ns2="280dc477-ba8b-4fdb-b572-a218c2fcd2e8" xmlns:ns3="d213af9c-6606-4219-a6ca-7870830ef5bf" targetNamespace="http://schemas.microsoft.com/office/2006/metadata/properties" ma:root="true" ma:fieldsID="1873ec42e0844e23f0afee9ec424ae04" ns2:_="" ns3:_="">
    <xsd:import namespace="280dc477-ba8b-4fdb-b572-a218c2fcd2e8"/>
    <xsd:import namespace="d213af9c-6606-4219-a6ca-7870830ef5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Location" minOccurs="0"/>
                <xsd:element ref="ns2:URL" minOccurs="0"/>
                <xsd:element ref="ns2:_Flow_SignoffStatus" minOccurs="0"/>
                <xsd:element ref="ns2: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dc477-ba8b-4fdb-b572-a218c2fcd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URL" ma:index="21"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2" nillable="true" ma:displayName="Sign-off status" ma:internalName="Sign_x002d_off_x0020_status">
      <xsd:simpleType>
        <xsd:restriction base="dms:Text"/>
      </xsd:simpleType>
    </xsd:element>
    <xsd:element name="Status" ma:index="23" nillable="true" ma:displayName="Comment" ma:description="All billed paid and entered into EA" ma:format="Dropdown" ma:internalName="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79f30f7-2dd1-4dad-86af-e1d0814f57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13af9c-6606-4219-a6ca-7870830ef5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c030f49-8199-42ad-b086-6691d1c560a2}" ma:internalName="TaxCatchAll" ma:showField="CatchAllData" ma:web="d213af9c-6606-4219-a6ca-7870830ef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0dc477-ba8b-4fdb-b572-a218c2fcd2e8">
      <Terms xmlns="http://schemas.microsoft.com/office/infopath/2007/PartnerControls"/>
    </lcf76f155ced4ddcb4097134ff3c332f>
    <TaxCatchAll xmlns="d213af9c-6606-4219-a6ca-7870830ef5bf" xsi:nil="true"/>
    <URL xmlns="280dc477-ba8b-4fdb-b572-a218c2fcd2e8">
      <Url xsi:nil="true"/>
      <Description xsi:nil="true"/>
    </URL>
    <Status xmlns="280dc477-ba8b-4fdb-b572-a218c2fcd2e8" xsi:nil="true"/>
    <_Flow_SignoffStatus xmlns="280dc477-ba8b-4fdb-b572-a218c2fcd2e8" xsi:nil="true"/>
  </documentManagement>
</p:properties>
</file>

<file path=customXml/itemProps1.xml><?xml version="1.0" encoding="utf-8"?>
<ds:datastoreItem xmlns:ds="http://schemas.openxmlformats.org/officeDocument/2006/customXml" ds:itemID="{7AEB9E50-3593-42A3-8C78-6BA18DEABA58}">
  <ds:schemaRefs>
    <ds:schemaRef ds:uri="http://schemas.microsoft.com/sharepoint/v3/contenttype/forms"/>
  </ds:schemaRefs>
</ds:datastoreItem>
</file>

<file path=customXml/itemProps2.xml><?xml version="1.0" encoding="utf-8"?>
<ds:datastoreItem xmlns:ds="http://schemas.openxmlformats.org/officeDocument/2006/customXml" ds:itemID="{E58A61CF-F139-4411-8272-4DFC7E8B6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dc477-ba8b-4fdb-b572-a218c2fcd2e8"/>
    <ds:schemaRef ds:uri="d213af9c-6606-4219-a6ca-7870830ef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E07776-E4D7-46EB-94EE-E665A7403CAF}">
  <ds:schemaRefs>
    <ds:schemaRef ds:uri="http://schemas.microsoft.com/office/2006/metadata/properties"/>
    <ds:schemaRef ds:uri="http://schemas.microsoft.com/office/infopath/2007/PartnerControls"/>
    <ds:schemaRef ds:uri="280dc477-ba8b-4fdb-b572-a218c2fcd2e8"/>
    <ds:schemaRef ds:uri="d213af9c-6606-4219-a6ca-7870830ef5bf"/>
  </ds:schemaRefs>
</ds:datastoreItem>
</file>

<file path=docMetadata/LabelInfo.xml><?xml version="1.0" encoding="utf-8"?>
<clbl:labelList xmlns:clbl="http://schemas.microsoft.com/office/2020/mipLabelMetadata">
  <clbl:label id="{052af4ff-75cf-48be-9503-79741c0f580d}" enabled="1" method="Standard" siteId="{43d2115b-a55e-46b6-9df7-b03388ecfc60}"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International Water Association</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Joe Royle;annalisa@atomconsulting.com.au</dc:creator>
  <cp:keywords/>
  <cp:lastModifiedBy>Cecy Balogun</cp:lastModifiedBy>
  <cp:revision>3</cp:revision>
  <dcterms:created xsi:type="dcterms:W3CDTF">2026-10-19T11:04:00Z</dcterms:created>
  <dcterms:modified xsi:type="dcterms:W3CDTF">2026-10-19T11:09:00Z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0x010100F7DBE34295EDFB4EB805750C6B957FCD</vt:lpwstr>
  </property>
  <property fmtid="{D5CDD505-2E9C-101B-9397-08002B2CF9AE}" pid="3" name="MediaServiceImageTags">
    <vt:lpwstr/>
  </property>
</Properties>
</file>